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5B" w:rsidRPr="0064575B" w:rsidRDefault="0064575B" w:rsidP="0064575B">
      <w:pPr>
        <w:jc w:val="right"/>
        <w:rPr>
          <w:rFonts w:ascii="Times New Roman" w:hAnsi="Times New Roman" w:cs="Times New Roman"/>
        </w:rPr>
      </w:pPr>
      <w:r w:rsidRPr="0064575B">
        <w:rPr>
          <w:rFonts w:ascii="Times New Roman" w:hAnsi="Times New Roman" w:cs="Times New Roman"/>
        </w:rPr>
        <w:t>Warszawa, 20 grudnia 2013 r.</w:t>
      </w:r>
    </w:p>
    <w:p w:rsidR="0064575B" w:rsidRPr="0064575B" w:rsidRDefault="0064575B" w:rsidP="0064575B">
      <w:pPr>
        <w:jc w:val="right"/>
        <w:rPr>
          <w:rFonts w:ascii="Times New Roman" w:hAnsi="Times New Roman" w:cs="Times New Roman"/>
        </w:rPr>
      </w:pPr>
    </w:p>
    <w:p w:rsidR="0064575B" w:rsidRPr="0064575B" w:rsidRDefault="0064575B" w:rsidP="0064575B">
      <w:pPr>
        <w:pStyle w:val="Tytu"/>
        <w:rPr>
          <w:sz w:val="40"/>
          <w:szCs w:val="40"/>
        </w:rPr>
      </w:pPr>
      <w:r w:rsidRPr="0064575B">
        <w:rPr>
          <w:sz w:val="40"/>
          <w:szCs w:val="40"/>
        </w:rPr>
        <w:t xml:space="preserve">Konsultacje społeczne </w:t>
      </w:r>
      <w:r w:rsidR="00F56008">
        <w:rPr>
          <w:sz w:val="40"/>
          <w:szCs w:val="40"/>
        </w:rPr>
        <w:t xml:space="preserve">dotyczące </w:t>
      </w:r>
      <w:r w:rsidR="004E178B">
        <w:rPr>
          <w:sz w:val="40"/>
          <w:szCs w:val="40"/>
        </w:rPr>
        <w:t>reformy</w:t>
      </w:r>
      <w:r w:rsidR="00F56008">
        <w:rPr>
          <w:sz w:val="40"/>
          <w:szCs w:val="40"/>
        </w:rPr>
        <w:t xml:space="preserve"> europejskiego</w:t>
      </w:r>
      <w:r w:rsidRPr="0064575B">
        <w:rPr>
          <w:sz w:val="40"/>
          <w:szCs w:val="40"/>
        </w:rPr>
        <w:t xml:space="preserve"> prawa autorskiego</w:t>
      </w:r>
    </w:p>
    <w:p w:rsidR="009131F4" w:rsidRPr="00554CDE" w:rsidRDefault="008F7C5E" w:rsidP="00554CDE">
      <w:pPr>
        <w:pStyle w:val="Nagwek1"/>
      </w:pPr>
      <w:r w:rsidRPr="00554CDE">
        <w:t xml:space="preserve">I. </w:t>
      </w:r>
      <w:r w:rsidR="00FD683C" w:rsidRPr="00554CDE">
        <w:t>Zakres</w:t>
      </w:r>
      <w:r w:rsidRPr="00554CDE">
        <w:t xml:space="preserve"> i ochrona praw oraz</w:t>
      </w:r>
      <w:r w:rsidR="00FD683C" w:rsidRPr="00554CDE">
        <w:t xml:space="preserve"> funkcjonowanie jednolitego rynku</w:t>
      </w:r>
      <w:r w:rsidRPr="00554CDE">
        <w:t xml:space="preserve"> U</w:t>
      </w:r>
      <w:r w:rsidR="0064575B">
        <w:t>E</w:t>
      </w:r>
    </w:p>
    <w:p w:rsidR="008F7C5E" w:rsidRPr="00554CDE" w:rsidRDefault="008F7C5E" w:rsidP="00554CDE">
      <w:pPr>
        <w:jc w:val="both"/>
        <w:rPr>
          <w:rFonts w:ascii="Times New Roman" w:hAnsi="Times New Roman" w:cs="Times New Roman"/>
        </w:rPr>
      </w:pPr>
    </w:p>
    <w:p w:rsidR="008F7C5E" w:rsidRPr="00554CDE" w:rsidRDefault="008F7C5E" w:rsidP="00554CDE">
      <w:pPr>
        <w:pStyle w:val="Nagwek2"/>
      </w:pPr>
      <w:r w:rsidRPr="00554CDE">
        <w:t>I.1. Terytorialność prawa autorskiego</w:t>
      </w:r>
    </w:p>
    <w:p w:rsidR="00683986" w:rsidRPr="00554CDE" w:rsidRDefault="00FD683C" w:rsidP="00554CDE">
      <w:pPr>
        <w:jc w:val="both"/>
        <w:rPr>
          <w:rFonts w:ascii="Times New Roman" w:hAnsi="Times New Roman" w:cs="Times New Roman"/>
        </w:rPr>
      </w:pPr>
      <w:r w:rsidRPr="00554CDE">
        <w:rPr>
          <w:rFonts w:ascii="Times New Roman" w:hAnsi="Times New Roman" w:cs="Times New Roman"/>
        </w:rPr>
        <w:t xml:space="preserve">Pomimo znacznego stopnia harmonizacji prawa autorskiego i praw pokrewnych dokonanej </w:t>
      </w:r>
      <w:r w:rsidR="0064575B">
        <w:rPr>
          <w:rFonts w:ascii="Times New Roman" w:hAnsi="Times New Roman" w:cs="Times New Roman"/>
        </w:rPr>
        <w:br/>
      </w:r>
      <w:r w:rsidRPr="00554CDE">
        <w:rPr>
          <w:rFonts w:ascii="Times New Roman" w:hAnsi="Times New Roman" w:cs="Times New Roman"/>
        </w:rPr>
        <w:t xml:space="preserve">w dyrektywach Unii Europejskiej, zakres ochrony </w:t>
      </w:r>
      <w:r w:rsidR="00E27CBF" w:rsidRPr="00554CDE">
        <w:rPr>
          <w:rFonts w:ascii="Times New Roman" w:hAnsi="Times New Roman" w:cs="Times New Roman"/>
        </w:rPr>
        <w:t>przyznanej</w:t>
      </w:r>
      <w:r w:rsidRPr="00554CDE">
        <w:rPr>
          <w:rFonts w:ascii="Times New Roman" w:hAnsi="Times New Roman" w:cs="Times New Roman"/>
        </w:rPr>
        <w:t xml:space="preserve"> uprawnionym w krajowych przepisach jest ograniczony do terytorium danego państwa członkowskiego.</w:t>
      </w:r>
      <w:r w:rsidR="00E27CBF" w:rsidRPr="00554CDE">
        <w:rPr>
          <w:rFonts w:ascii="Times New Roman" w:hAnsi="Times New Roman" w:cs="Times New Roman"/>
        </w:rPr>
        <w:t xml:space="preserve"> </w:t>
      </w:r>
      <w:r w:rsidR="000A6E02" w:rsidRPr="00554CDE">
        <w:rPr>
          <w:rFonts w:ascii="Times New Roman" w:hAnsi="Times New Roman" w:cs="Times New Roman"/>
        </w:rPr>
        <w:t xml:space="preserve">Co prawda uprawniony może udzielić licencji </w:t>
      </w:r>
      <w:r w:rsidR="002110E9" w:rsidRPr="00554CDE">
        <w:rPr>
          <w:rFonts w:ascii="Times New Roman" w:hAnsi="Times New Roman" w:cs="Times New Roman"/>
        </w:rPr>
        <w:t>na</w:t>
      </w:r>
      <w:r w:rsidR="000A6E02" w:rsidRPr="00554CDE">
        <w:rPr>
          <w:rFonts w:ascii="Times New Roman" w:hAnsi="Times New Roman" w:cs="Times New Roman"/>
        </w:rPr>
        <w:t xml:space="preserve"> wiele terytoriów, to jednak w praktyce mechanizmy licencyjne </w:t>
      </w:r>
      <w:r w:rsidR="002110E9" w:rsidRPr="00554CDE">
        <w:rPr>
          <w:rFonts w:ascii="Times New Roman" w:hAnsi="Times New Roman" w:cs="Times New Roman"/>
        </w:rPr>
        <w:t xml:space="preserve">obejmują </w:t>
      </w:r>
      <w:r w:rsidR="000A6E02" w:rsidRPr="00554CDE">
        <w:rPr>
          <w:rFonts w:ascii="Times New Roman" w:hAnsi="Times New Roman" w:cs="Times New Roman"/>
        </w:rPr>
        <w:t xml:space="preserve">terytorium </w:t>
      </w:r>
      <w:r w:rsidR="002110E9" w:rsidRPr="00554CDE">
        <w:rPr>
          <w:rFonts w:ascii="Times New Roman" w:hAnsi="Times New Roman" w:cs="Times New Roman"/>
        </w:rPr>
        <w:t>co najwyżej kilku</w:t>
      </w:r>
      <w:r w:rsidR="00996A74" w:rsidRPr="00554CDE">
        <w:rPr>
          <w:rFonts w:ascii="Times New Roman" w:hAnsi="Times New Roman" w:cs="Times New Roman"/>
        </w:rPr>
        <w:t xml:space="preserve"> państw członkowskich. Utrudnia to powstanie w Unii Europejskiej prawdziwie jednolitego</w:t>
      </w:r>
      <w:r w:rsidR="00683986" w:rsidRPr="00554CDE">
        <w:rPr>
          <w:rFonts w:ascii="Times New Roman" w:hAnsi="Times New Roman" w:cs="Times New Roman"/>
        </w:rPr>
        <w:t xml:space="preserve"> rynku cyfrowego. Skutkiem tego jest znaczne zróżnicowanie świadczonych </w:t>
      </w:r>
      <w:r w:rsidR="0064575B">
        <w:rPr>
          <w:rFonts w:ascii="Times New Roman" w:hAnsi="Times New Roman" w:cs="Times New Roman"/>
        </w:rPr>
        <w:br/>
      </w:r>
      <w:r w:rsidR="00683986" w:rsidRPr="00554CDE">
        <w:rPr>
          <w:rFonts w:ascii="Times New Roman" w:hAnsi="Times New Roman" w:cs="Times New Roman"/>
        </w:rPr>
        <w:t xml:space="preserve">w poszczególnych państwach członkowskich usług zapewniających legalny dostęp do chronionych utworów oraz terytorialne ograniczenia przy korzystaniu z tych </w:t>
      </w:r>
      <w:r w:rsidR="008F7C5E" w:rsidRPr="00554CDE">
        <w:rPr>
          <w:rFonts w:ascii="Times New Roman" w:hAnsi="Times New Roman" w:cs="Times New Roman"/>
        </w:rPr>
        <w:t>usług z terytoriów</w:t>
      </w:r>
      <w:r w:rsidR="00683986" w:rsidRPr="00554CDE">
        <w:rPr>
          <w:rFonts w:ascii="Times New Roman" w:hAnsi="Times New Roman" w:cs="Times New Roman"/>
        </w:rPr>
        <w:t xml:space="preserve"> innych państw członkowskich.</w:t>
      </w:r>
    </w:p>
    <w:p w:rsidR="00745B08" w:rsidRPr="00554CDE" w:rsidRDefault="008F7C5E" w:rsidP="00554CDE">
      <w:pPr>
        <w:jc w:val="both"/>
        <w:rPr>
          <w:rFonts w:ascii="Times New Roman" w:hAnsi="Times New Roman" w:cs="Times New Roman"/>
        </w:rPr>
      </w:pPr>
      <w:r w:rsidRPr="00554CDE">
        <w:rPr>
          <w:rFonts w:ascii="Times New Roman" w:hAnsi="Times New Roman" w:cs="Times New Roman"/>
        </w:rPr>
        <w:t>Jedną z przyczyn tego stanu rzeczy może być fakt, iż</w:t>
      </w:r>
      <w:r w:rsidR="005A6CCB" w:rsidRPr="00554CDE">
        <w:rPr>
          <w:rFonts w:ascii="Times New Roman" w:hAnsi="Times New Roman" w:cs="Times New Roman"/>
        </w:rPr>
        <w:t xml:space="preserve"> przepisy dyrektywy 2001/29/WE o prawie autorskim w społeczeństwie informacyjnym nie precyzują, jaki jest terytorialny zakres korzystania </w:t>
      </w:r>
      <w:r w:rsidR="0064575B">
        <w:rPr>
          <w:rFonts w:ascii="Times New Roman" w:hAnsi="Times New Roman" w:cs="Times New Roman"/>
        </w:rPr>
        <w:br/>
      </w:r>
      <w:r w:rsidR="005A6CCB" w:rsidRPr="00554CDE">
        <w:rPr>
          <w:rFonts w:ascii="Times New Roman" w:hAnsi="Times New Roman" w:cs="Times New Roman"/>
        </w:rPr>
        <w:t xml:space="preserve">z utworu (bądź przedmiotu prawa pokrewnego) polegającego na jego publicznym udostępnianiu </w:t>
      </w:r>
      <w:proofErr w:type="spellStart"/>
      <w:r w:rsidR="005A6CCB" w:rsidRPr="00554CDE">
        <w:rPr>
          <w:rFonts w:ascii="Times New Roman" w:hAnsi="Times New Roman" w:cs="Times New Roman"/>
          <w:i/>
        </w:rPr>
        <w:t>online</w:t>
      </w:r>
      <w:proofErr w:type="spellEnd"/>
      <w:r w:rsidR="005A6CCB" w:rsidRPr="00554CDE">
        <w:rPr>
          <w:rFonts w:ascii="Times New Roman" w:hAnsi="Times New Roman" w:cs="Times New Roman"/>
        </w:rPr>
        <w:t>, tj. „w taki sposób, aby każdy miał do niego dostęp w miejscu i w czasie przez siebie wybranym” (art. 3 ust. 1 i 2 dyrektywy 2001/29/WE).</w:t>
      </w:r>
      <w:r w:rsidR="00745B08" w:rsidRPr="00554CDE">
        <w:rPr>
          <w:rFonts w:ascii="Times New Roman" w:hAnsi="Times New Roman" w:cs="Times New Roman"/>
        </w:rPr>
        <w:t xml:space="preserve"> </w:t>
      </w:r>
    </w:p>
    <w:p w:rsidR="005A6CCB" w:rsidRPr="00554CDE" w:rsidRDefault="00745B08" w:rsidP="00554CDE">
      <w:pPr>
        <w:jc w:val="both"/>
        <w:rPr>
          <w:rFonts w:ascii="Times New Roman" w:hAnsi="Times New Roman" w:cs="Times New Roman"/>
        </w:rPr>
      </w:pPr>
      <w:r w:rsidRPr="00554CDE">
        <w:rPr>
          <w:rFonts w:ascii="Times New Roman" w:hAnsi="Times New Roman" w:cs="Times New Roman"/>
        </w:rPr>
        <w:t>Dodatkowo, wskazany sposób korzystania stanowi odrębne pole eksploatacji od zwielokrotniania utworu (art. 2 dyrektywy 2001/29/WE). Tymczasem</w:t>
      </w:r>
      <w:r w:rsidR="008F7C5E" w:rsidRPr="00554CDE">
        <w:rPr>
          <w:rFonts w:ascii="Times New Roman" w:hAnsi="Times New Roman" w:cs="Times New Roman"/>
        </w:rPr>
        <w:t>,</w:t>
      </w:r>
      <w:r w:rsidRPr="00554CDE">
        <w:rPr>
          <w:rFonts w:ascii="Times New Roman" w:hAnsi="Times New Roman" w:cs="Times New Roman"/>
        </w:rPr>
        <w:t xml:space="preserve"> z technicznego punktu widzenia</w:t>
      </w:r>
      <w:r w:rsidR="008F7C5E" w:rsidRPr="00554CDE">
        <w:rPr>
          <w:rFonts w:ascii="Times New Roman" w:hAnsi="Times New Roman" w:cs="Times New Roman"/>
        </w:rPr>
        <w:t>,</w:t>
      </w:r>
      <w:r w:rsidRPr="00554CDE">
        <w:rPr>
          <w:rFonts w:ascii="Times New Roman" w:hAnsi="Times New Roman" w:cs="Times New Roman"/>
        </w:rPr>
        <w:t xml:space="preserve"> udostępnienie utworu </w:t>
      </w:r>
      <w:proofErr w:type="spellStart"/>
      <w:r w:rsidRPr="00554CDE">
        <w:rPr>
          <w:rFonts w:ascii="Times New Roman" w:hAnsi="Times New Roman" w:cs="Times New Roman"/>
          <w:i/>
        </w:rPr>
        <w:t>online</w:t>
      </w:r>
      <w:proofErr w:type="spellEnd"/>
      <w:r w:rsidRPr="00554CDE">
        <w:rPr>
          <w:rFonts w:ascii="Times New Roman" w:hAnsi="Times New Roman" w:cs="Times New Roman"/>
        </w:rPr>
        <w:t xml:space="preserve"> wymaga jego równoczesnego zwielokrotnienia, co oznacza konieczność uzyskania zezwolenia na dwóch różnych polach eksploatacji</w:t>
      </w:r>
      <w:r w:rsidR="002110E9" w:rsidRPr="00554CDE">
        <w:rPr>
          <w:rFonts w:ascii="Times New Roman" w:hAnsi="Times New Roman" w:cs="Times New Roman"/>
        </w:rPr>
        <w:t>, czasem od różnych podmiotów</w:t>
      </w:r>
      <w:r w:rsidRPr="00554CDE">
        <w:rPr>
          <w:rFonts w:ascii="Times New Roman" w:hAnsi="Times New Roman" w:cs="Times New Roman"/>
        </w:rPr>
        <w:t>.</w:t>
      </w:r>
    </w:p>
    <w:p w:rsidR="003F6A82" w:rsidRPr="00554CDE" w:rsidRDefault="003F6A82"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terytorialny charakter prawa autorskiego stanowi utrudnienie</w:t>
      </w:r>
      <w:r w:rsidR="008C65EB" w:rsidRPr="00554CDE">
        <w:rPr>
          <w:rFonts w:ascii="Times New Roman" w:hAnsi="Times New Roman" w:cs="Times New Roman"/>
          <w:i/>
        </w:rPr>
        <w:t xml:space="preserve"> przy świadczeniu bądź dostępie do legalnych usług </w:t>
      </w:r>
      <w:proofErr w:type="spellStart"/>
      <w:r w:rsidR="008C65EB" w:rsidRPr="00554CDE">
        <w:rPr>
          <w:rFonts w:ascii="Times New Roman" w:hAnsi="Times New Roman" w:cs="Times New Roman"/>
          <w:i/>
        </w:rPr>
        <w:t>online</w:t>
      </w:r>
      <w:proofErr w:type="spellEnd"/>
      <w:r w:rsidR="008C65EB" w:rsidRPr="00554CDE">
        <w:rPr>
          <w:rFonts w:ascii="Times New Roman" w:hAnsi="Times New Roman" w:cs="Times New Roman"/>
          <w:i/>
        </w:rPr>
        <w:t>, zarówno z punktu widzenia licencjodawców, licencjobiorców jak i użytkowników końcowych (konsumentów)?</w:t>
      </w:r>
    </w:p>
    <w:p w:rsidR="00745B08" w:rsidRPr="00554CDE" w:rsidRDefault="005A6CCB"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Jakie trudności wiążą się z brakiem określenia terytorialnego zakresu korzystania z utworu </w:t>
      </w:r>
      <w:r w:rsidR="00DC262F">
        <w:rPr>
          <w:rFonts w:ascii="Times New Roman" w:hAnsi="Times New Roman" w:cs="Times New Roman"/>
          <w:i/>
        </w:rPr>
        <w:br/>
      </w:r>
      <w:r w:rsidRPr="00554CDE">
        <w:rPr>
          <w:rFonts w:ascii="Times New Roman" w:hAnsi="Times New Roman" w:cs="Times New Roman"/>
          <w:i/>
        </w:rPr>
        <w:t>w taki sposób, aby każdy miał do niego dostęp w miejscu i w czasie przez siebie wybranym?</w:t>
      </w:r>
      <w:r w:rsidR="00745B08" w:rsidRPr="00554CDE">
        <w:rPr>
          <w:rFonts w:ascii="Times New Roman" w:hAnsi="Times New Roman" w:cs="Times New Roman"/>
          <w:i/>
        </w:rPr>
        <w:t xml:space="preserve"> </w:t>
      </w:r>
    </w:p>
    <w:p w:rsidR="005A6CCB" w:rsidRPr="00554CDE" w:rsidRDefault="00745B08"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Jakie trudności wiążą się z koniecznością uzyskania zezwolenia na dwóch polach eksploatacji (zwielokrotnianie i publiczne udostępnianie) w celu udostępniania utworów </w:t>
      </w:r>
      <w:proofErr w:type="spellStart"/>
      <w:r w:rsidRPr="00554CDE">
        <w:rPr>
          <w:rFonts w:ascii="Times New Roman" w:hAnsi="Times New Roman" w:cs="Times New Roman"/>
          <w:i/>
        </w:rPr>
        <w:t>online</w:t>
      </w:r>
      <w:proofErr w:type="spellEnd"/>
      <w:r w:rsidRPr="00554CDE">
        <w:rPr>
          <w:rFonts w:ascii="Times New Roman" w:hAnsi="Times New Roman" w:cs="Times New Roman"/>
          <w:i/>
        </w:rPr>
        <w:t>?</w:t>
      </w:r>
    </w:p>
    <w:p w:rsidR="00683986" w:rsidRPr="00554CDE" w:rsidRDefault="00AE310F"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W jaki sposób </w:t>
      </w:r>
      <w:r w:rsidR="008C65EB" w:rsidRPr="00554CDE">
        <w:rPr>
          <w:rFonts w:ascii="Times New Roman" w:hAnsi="Times New Roman" w:cs="Times New Roman"/>
          <w:i/>
        </w:rPr>
        <w:t>te utrudnienia mogą zostać wyeliminowane bądź ograniczone</w:t>
      </w:r>
      <w:r w:rsidRPr="00554CDE">
        <w:rPr>
          <w:rFonts w:ascii="Times New Roman" w:hAnsi="Times New Roman" w:cs="Times New Roman"/>
          <w:i/>
        </w:rPr>
        <w:t>, tak aby poprawić dostępność legalnych treści w formatach cyfrowych we wszystkich państwach Unii Europejskiej przy równoczesnym zapewnieniu odpowiedniej ochrony dla uprawnionych</w:t>
      </w:r>
      <w:r w:rsidR="008C65EB" w:rsidRPr="00554CDE">
        <w:rPr>
          <w:rFonts w:ascii="Times New Roman" w:hAnsi="Times New Roman" w:cs="Times New Roman"/>
          <w:i/>
        </w:rPr>
        <w:t>?</w:t>
      </w:r>
      <w:r w:rsidR="003F6A82" w:rsidRPr="00554CDE">
        <w:rPr>
          <w:rFonts w:ascii="Times New Roman" w:hAnsi="Times New Roman" w:cs="Times New Roman"/>
          <w:i/>
        </w:rPr>
        <w:t xml:space="preserve"> Czy konieczna jest tu</w:t>
      </w:r>
      <w:r w:rsidR="00F03221">
        <w:rPr>
          <w:rFonts w:ascii="Times New Roman" w:hAnsi="Times New Roman" w:cs="Times New Roman"/>
          <w:i/>
        </w:rPr>
        <w:t xml:space="preserve"> i jak powinna w tym wypadku wyglądać</w:t>
      </w:r>
      <w:r w:rsidR="003F6A82" w:rsidRPr="00554CDE">
        <w:rPr>
          <w:rFonts w:ascii="Times New Roman" w:hAnsi="Times New Roman" w:cs="Times New Roman"/>
          <w:i/>
        </w:rPr>
        <w:t xml:space="preserve"> interwencja unijnego ustawodawcy?</w:t>
      </w:r>
    </w:p>
    <w:p w:rsidR="008F7C5E" w:rsidRPr="00554CDE" w:rsidRDefault="008F7C5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rozwiązaniem problemu terytorialnego charakteru prawa autorskiego mogłoby być wprowadzenie jednolitego prawa autorskiego obowiązującego w całej UE, które zastąpiłoby dotychczasowe prawa krajowe?</w:t>
      </w:r>
    </w:p>
    <w:p w:rsidR="002110E9" w:rsidRPr="00554CDE" w:rsidRDefault="002110E9" w:rsidP="00554CDE">
      <w:pPr>
        <w:jc w:val="both"/>
        <w:rPr>
          <w:rFonts w:ascii="Times New Roman" w:hAnsi="Times New Roman" w:cs="Times New Roman"/>
          <w:b/>
        </w:rPr>
      </w:pPr>
    </w:p>
    <w:p w:rsidR="00683986" w:rsidRPr="00554CDE" w:rsidRDefault="002110E9" w:rsidP="00554CDE">
      <w:pPr>
        <w:pStyle w:val="Nagwek2"/>
      </w:pPr>
      <w:r w:rsidRPr="00554CDE">
        <w:t>I.2. Problem odesłań i przeglądarek internetowych</w:t>
      </w:r>
    </w:p>
    <w:p w:rsidR="00D2693C" w:rsidRPr="00554CDE" w:rsidRDefault="002110E9" w:rsidP="00554CDE">
      <w:pPr>
        <w:jc w:val="both"/>
        <w:rPr>
          <w:rFonts w:ascii="Times New Roman" w:hAnsi="Times New Roman" w:cs="Times New Roman"/>
        </w:rPr>
      </w:pPr>
      <w:r w:rsidRPr="00554CDE">
        <w:rPr>
          <w:rFonts w:ascii="Times New Roman" w:hAnsi="Times New Roman" w:cs="Times New Roman"/>
        </w:rPr>
        <w:t>W</w:t>
      </w:r>
      <w:r w:rsidR="00D2693C" w:rsidRPr="00554CDE">
        <w:rPr>
          <w:rFonts w:ascii="Times New Roman" w:hAnsi="Times New Roman" w:cs="Times New Roman"/>
        </w:rPr>
        <w:t xml:space="preserve"> ostatnim czasie na gruncie prawa unijnego pojawiły się wątpliwości</w:t>
      </w:r>
      <w:r w:rsidR="00D6604E" w:rsidRPr="00554CDE">
        <w:rPr>
          <w:rFonts w:ascii="Times New Roman" w:hAnsi="Times New Roman" w:cs="Times New Roman"/>
        </w:rPr>
        <w:t xml:space="preserve"> co do charakteru odesłań (linków) zamieszczanych na stronach internetowych, prowadzących do zasobów znajdujących się na innych stronach. Do Trybunału Sprawiedliwości UE skierowano kilka pytań prejudycjalnych, mających na celu ustalenie, czy zamieszczenie odesłania do chronionego utworu jest równoznaczne </w:t>
      </w:r>
      <w:r w:rsidR="00DC262F">
        <w:rPr>
          <w:rFonts w:ascii="Times New Roman" w:hAnsi="Times New Roman" w:cs="Times New Roman"/>
        </w:rPr>
        <w:br/>
      </w:r>
      <w:r w:rsidR="00D6604E" w:rsidRPr="00554CDE">
        <w:rPr>
          <w:rFonts w:ascii="Times New Roman" w:hAnsi="Times New Roman" w:cs="Times New Roman"/>
        </w:rPr>
        <w:t xml:space="preserve">z </w:t>
      </w:r>
      <w:r w:rsidR="00D6604E" w:rsidRPr="00554CDE">
        <w:rPr>
          <w:rFonts w:ascii="Times New Roman" w:hAnsi="Times New Roman" w:cs="Times New Roman"/>
        </w:rPr>
        <w:lastRenderedPageBreak/>
        <w:t>jego</w:t>
      </w:r>
      <w:r w:rsidR="00C12EB0" w:rsidRPr="00554CDE">
        <w:rPr>
          <w:rFonts w:ascii="Times New Roman" w:hAnsi="Times New Roman" w:cs="Times New Roman"/>
        </w:rPr>
        <w:t xml:space="preserve"> publicznym komunikowaniem lub</w:t>
      </w:r>
      <w:r w:rsidR="00D6604E" w:rsidRPr="00554CDE">
        <w:rPr>
          <w:rFonts w:ascii="Times New Roman" w:hAnsi="Times New Roman" w:cs="Times New Roman"/>
        </w:rPr>
        <w:t xml:space="preserve"> publicznym udostępnieniem</w:t>
      </w:r>
      <w:r w:rsidR="00C12EB0" w:rsidRPr="00554CDE">
        <w:rPr>
          <w:rFonts w:ascii="Times New Roman" w:hAnsi="Times New Roman" w:cs="Times New Roman"/>
        </w:rPr>
        <w:t xml:space="preserve"> w rozumieniu art. 3 ust. 1 i 2 dyrektywy 2001/29/WE</w:t>
      </w:r>
      <w:r w:rsidR="00D6604E" w:rsidRPr="00554CDE">
        <w:rPr>
          <w:rStyle w:val="Odwoanieprzypisudolnego"/>
          <w:rFonts w:ascii="Times New Roman" w:hAnsi="Times New Roman" w:cs="Times New Roman"/>
        </w:rPr>
        <w:footnoteReference w:id="1"/>
      </w:r>
      <w:r w:rsidR="00D6604E" w:rsidRPr="00554CDE">
        <w:rPr>
          <w:rFonts w:ascii="Times New Roman" w:hAnsi="Times New Roman" w:cs="Times New Roman"/>
        </w:rPr>
        <w:t>.</w:t>
      </w:r>
    </w:p>
    <w:p w:rsidR="00D6604E" w:rsidRPr="00554CDE" w:rsidRDefault="00C12EB0" w:rsidP="00554CDE">
      <w:pPr>
        <w:jc w:val="both"/>
        <w:rPr>
          <w:rFonts w:ascii="Times New Roman" w:hAnsi="Times New Roman" w:cs="Times New Roman"/>
        </w:rPr>
      </w:pPr>
      <w:r w:rsidRPr="00554CDE">
        <w:rPr>
          <w:rFonts w:ascii="Times New Roman" w:hAnsi="Times New Roman" w:cs="Times New Roman"/>
        </w:rPr>
        <w:t xml:space="preserve">Do TSUE trafiło też pytanie prejudycjalne dotyczące tymczasowych kopii utworów tworzonych </w:t>
      </w:r>
      <w:r w:rsidR="00DC262F">
        <w:rPr>
          <w:rFonts w:ascii="Times New Roman" w:hAnsi="Times New Roman" w:cs="Times New Roman"/>
        </w:rPr>
        <w:br/>
      </w:r>
      <w:r w:rsidRPr="00554CDE">
        <w:rPr>
          <w:rFonts w:ascii="Times New Roman" w:hAnsi="Times New Roman" w:cs="Times New Roman"/>
        </w:rPr>
        <w:t>w pamięci komputera przez przeglądarkę internetową podczas wyświetlania stron internetowych</w:t>
      </w:r>
      <w:r w:rsidRPr="00554CDE">
        <w:rPr>
          <w:rStyle w:val="Odwoanieprzypisudolnego"/>
          <w:rFonts w:ascii="Times New Roman" w:hAnsi="Times New Roman" w:cs="Times New Roman"/>
        </w:rPr>
        <w:footnoteReference w:id="2"/>
      </w:r>
      <w:r w:rsidRPr="00554CDE">
        <w:rPr>
          <w:rFonts w:ascii="Times New Roman" w:hAnsi="Times New Roman" w:cs="Times New Roman"/>
        </w:rPr>
        <w:t xml:space="preserve">. Trybunał </w:t>
      </w:r>
      <w:r w:rsidR="002110E9" w:rsidRPr="00554CDE">
        <w:rPr>
          <w:rFonts w:ascii="Times New Roman" w:hAnsi="Times New Roman" w:cs="Times New Roman"/>
        </w:rPr>
        <w:t>będzie w tej sprawie oceniać</w:t>
      </w:r>
      <w:r w:rsidRPr="00554CDE">
        <w:rPr>
          <w:rFonts w:ascii="Times New Roman" w:hAnsi="Times New Roman" w:cs="Times New Roman"/>
        </w:rPr>
        <w:t xml:space="preserve">, czy takie kopie mieszczą się w ramach wyjątku określonego </w:t>
      </w:r>
      <w:r w:rsidR="00DC262F">
        <w:rPr>
          <w:rFonts w:ascii="Times New Roman" w:hAnsi="Times New Roman" w:cs="Times New Roman"/>
        </w:rPr>
        <w:br/>
      </w:r>
      <w:r w:rsidRPr="00554CDE">
        <w:rPr>
          <w:rFonts w:ascii="Times New Roman" w:hAnsi="Times New Roman" w:cs="Times New Roman"/>
        </w:rPr>
        <w:t>w art. 5 ust. 1 dyrektywy 2001/29/WE</w:t>
      </w:r>
      <w:r w:rsidRPr="00554CDE">
        <w:rPr>
          <w:rStyle w:val="Odwoanieprzypisudolnego"/>
          <w:rFonts w:ascii="Times New Roman" w:hAnsi="Times New Roman" w:cs="Times New Roman"/>
        </w:rPr>
        <w:footnoteReference w:id="3"/>
      </w:r>
      <w:r w:rsidRPr="00554CDE">
        <w:rPr>
          <w:rFonts w:ascii="Times New Roman" w:hAnsi="Times New Roman" w:cs="Times New Roman"/>
        </w:rPr>
        <w:t>.</w:t>
      </w:r>
    </w:p>
    <w:p w:rsidR="001A6725" w:rsidRPr="00554CDE" w:rsidRDefault="001A6725"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korzystanie z utworów w sposób opisany powyżej (</w:t>
      </w:r>
      <w:proofErr w:type="spellStart"/>
      <w:r w:rsidRPr="00554CDE">
        <w:rPr>
          <w:rFonts w:ascii="Times New Roman" w:hAnsi="Times New Roman" w:cs="Times New Roman"/>
          <w:i/>
        </w:rPr>
        <w:t>linkowanie</w:t>
      </w:r>
      <w:proofErr w:type="spellEnd"/>
      <w:r w:rsidRPr="00554CDE">
        <w:rPr>
          <w:rFonts w:ascii="Times New Roman" w:hAnsi="Times New Roman" w:cs="Times New Roman"/>
          <w:i/>
        </w:rPr>
        <w:t xml:space="preserve"> oraz zwielokrotnianie </w:t>
      </w:r>
      <w:r w:rsidR="00DC262F">
        <w:rPr>
          <w:rFonts w:ascii="Times New Roman" w:hAnsi="Times New Roman" w:cs="Times New Roman"/>
          <w:i/>
        </w:rPr>
        <w:br/>
      </w:r>
      <w:r w:rsidRPr="00554CDE">
        <w:rPr>
          <w:rFonts w:ascii="Times New Roman" w:hAnsi="Times New Roman" w:cs="Times New Roman"/>
          <w:i/>
        </w:rPr>
        <w:t>w pamięci komputera przez przeglądarkę internetową) powinno być uzależnione od zgody uprawnionego? Czy prawo europejskie powinno w sposób wyraźny określać sytuacje bądź warunki, po spełnieniu których taka zgoda nie jest konieczna?</w:t>
      </w:r>
      <w:r w:rsidR="00DC262F">
        <w:rPr>
          <w:rFonts w:ascii="Times New Roman" w:hAnsi="Times New Roman" w:cs="Times New Roman"/>
          <w:i/>
        </w:rPr>
        <w:t xml:space="preserve"> </w:t>
      </w:r>
      <w:r w:rsidR="00F03221">
        <w:rPr>
          <w:rFonts w:ascii="Times New Roman" w:hAnsi="Times New Roman" w:cs="Times New Roman"/>
          <w:i/>
        </w:rPr>
        <w:t>Jeśli tak, jak powinna, Państwa zdaniem,  wyglądać taka regulacja ?</w:t>
      </w:r>
    </w:p>
    <w:p w:rsidR="00D2693C" w:rsidRPr="00554CDE" w:rsidRDefault="00D2693C" w:rsidP="00554CDE">
      <w:pPr>
        <w:jc w:val="both"/>
        <w:rPr>
          <w:rFonts w:ascii="Times New Roman" w:hAnsi="Times New Roman" w:cs="Times New Roman"/>
        </w:rPr>
      </w:pPr>
    </w:p>
    <w:p w:rsidR="002110E9" w:rsidRPr="00554CDE" w:rsidRDefault="002110E9" w:rsidP="00554CDE">
      <w:pPr>
        <w:pStyle w:val="Nagwek2"/>
      </w:pPr>
      <w:r w:rsidRPr="00554CDE">
        <w:t>I.3. Wyczerpanie prawa</w:t>
      </w:r>
    </w:p>
    <w:p w:rsidR="00DC262F" w:rsidRDefault="00DC262F" w:rsidP="00554CDE">
      <w:pPr>
        <w:jc w:val="both"/>
        <w:rPr>
          <w:rFonts w:ascii="Times New Roman" w:hAnsi="Times New Roman" w:cs="Times New Roman"/>
        </w:rPr>
      </w:pPr>
      <w:r>
        <w:rPr>
          <w:rFonts w:ascii="Times New Roman" w:hAnsi="Times New Roman" w:cs="Times New Roman"/>
        </w:rPr>
        <w:t>Zgodnie z tzw. zasadą wyczerpania prawa, określoną</w:t>
      </w:r>
      <w:r w:rsidR="001A6725" w:rsidRPr="00554CDE">
        <w:rPr>
          <w:rFonts w:ascii="Times New Roman" w:hAnsi="Times New Roman" w:cs="Times New Roman"/>
        </w:rPr>
        <w:t xml:space="preserve"> w art. 4 ust. 2 dyrektywy 2001/29/WE</w:t>
      </w:r>
      <w:r w:rsidR="00130BC2" w:rsidRPr="00554CDE">
        <w:rPr>
          <w:rStyle w:val="Odwoanieprzypisudolnego"/>
          <w:rFonts w:ascii="Times New Roman" w:hAnsi="Times New Roman" w:cs="Times New Roman"/>
        </w:rPr>
        <w:footnoteReference w:id="4"/>
      </w:r>
      <w:r w:rsidR="001A6725" w:rsidRPr="00554CDE">
        <w:rPr>
          <w:rFonts w:ascii="Times New Roman" w:hAnsi="Times New Roman" w:cs="Times New Roman"/>
        </w:rPr>
        <w:t>,</w:t>
      </w:r>
      <w:r>
        <w:rPr>
          <w:rFonts w:ascii="Times New Roman" w:hAnsi="Times New Roman" w:cs="Times New Roman"/>
        </w:rPr>
        <w:t xml:space="preserve"> </w:t>
      </w:r>
      <w:r w:rsidR="00692D69">
        <w:rPr>
          <w:rFonts w:ascii="Times New Roman" w:hAnsi="Times New Roman" w:cs="Times New Roman"/>
        </w:rPr>
        <w:br/>
      </w:r>
      <w:r w:rsidRPr="00DC262F">
        <w:rPr>
          <w:rFonts w:ascii="Times New Roman" w:hAnsi="Times New Roman" w:cs="Times New Roman"/>
        </w:rPr>
        <w:t xml:space="preserve">w przypadku pierwszej sprzedaży danego przedmiotu lub innego przeniesienia własności na obszarze </w:t>
      </w:r>
      <w:r>
        <w:rPr>
          <w:rFonts w:ascii="Times New Roman" w:hAnsi="Times New Roman" w:cs="Times New Roman"/>
        </w:rPr>
        <w:t>UE</w:t>
      </w:r>
      <w:r w:rsidRPr="00DC262F">
        <w:rPr>
          <w:rFonts w:ascii="Times New Roman" w:hAnsi="Times New Roman" w:cs="Times New Roman"/>
        </w:rPr>
        <w:t xml:space="preserve"> przez podmiot praw autorskich lub za jego zezwoleniem</w:t>
      </w:r>
      <w:r>
        <w:rPr>
          <w:rFonts w:ascii="Times New Roman" w:hAnsi="Times New Roman" w:cs="Times New Roman"/>
        </w:rPr>
        <w:t>, wyczerpuje się prawo do rozpowszechniania egzemplarza utworu na tym obszarze. Oznacz</w:t>
      </w:r>
      <w:r w:rsidR="007843D1">
        <w:rPr>
          <w:rFonts w:ascii="Times New Roman" w:hAnsi="Times New Roman" w:cs="Times New Roman"/>
        </w:rPr>
        <w:t>a</w:t>
      </w:r>
      <w:r>
        <w:rPr>
          <w:rFonts w:ascii="Times New Roman" w:hAnsi="Times New Roman" w:cs="Times New Roman"/>
        </w:rPr>
        <w:t xml:space="preserve"> to, iż uprawniony nie ma wpływu na dalszy obrót tym egzemplarzem.</w:t>
      </w:r>
    </w:p>
    <w:p w:rsidR="00AA5AC2" w:rsidRPr="00554CDE" w:rsidRDefault="00DC262F" w:rsidP="00554CDE">
      <w:pPr>
        <w:jc w:val="both"/>
        <w:rPr>
          <w:rFonts w:ascii="Times New Roman" w:hAnsi="Times New Roman" w:cs="Times New Roman"/>
        </w:rPr>
      </w:pPr>
      <w:r>
        <w:rPr>
          <w:rFonts w:ascii="Times New Roman" w:hAnsi="Times New Roman" w:cs="Times New Roman"/>
        </w:rPr>
        <w:t>Zasada ta ma</w:t>
      </w:r>
      <w:r w:rsidR="00130BC2" w:rsidRPr="00554CDE">
        <w:rPr>
          <w:rFonts w:ascii="Times New Roman" w:hAnsi="Times New Roman" w:cs="Times New Roman"/>
        </w:rPr>
        <w:t xml:space="preserve"> zastosowanie wyłącznie do utworów wprowadzanych do obrotu na fizycznych nośnikach. Znajduje to potwierdzenie </w:t>
      </w:r>
      <w:r w:rsidR="007E4EF7" w:rsidRPr="00554CDE">
        <w:rPr>
          <w:rFonts w:ascii="Times New Roman" w:hAnsi="Times New Roman" w:cs="Times New Roman"/>
        </w:rPr>
        <w:t>w treści motywu 28</w:t>
      </w:r>
      <w:r>
        <w:rPr>
          <w:rStyle w:val="Odwoanieprzypisudolnego"/>
          <w:rFonts w:ascii="Times New Roman" w:hAnsi="Times New Roman" w:cs="Times New Roman"/>
        </w:rPr>
        <w:footnoteReference w:id="5"/>
      </w:r>
      <w:r w:rsidR="007E4EF7" w:rsidRPr="00554CDE">
        <w:rPr>
          <w:rFonts w:ascii="Times New Roman" w:hAnsi="Times New Roman" w:cs="Times New Roman"/>
        </w:rPr>
        <w:t xml:space="preserve"> oraz przepisu art. 3 ust. 3 dyrektywy</w:t>
      </w:r>
      <w:r>
        <w:rPr>
          <w:rStyle w:val="Odwoanieprzypisudolnego"/>
          <w:rFonts w:ascii="Times New Roman" w:hAnsi="Times New Roman" w:cs="Times New Roman"/>
        </w:rPr>
        <w:footnoteReference w:id="6"/>
      </w:r>
      <w:r w:rsidR="007E4EF7" w:rsidRPr="00554CDE">
        <w:rPr>
          <w:rFonts w:ascii="Times New Roman" w:hAnsi="Times New Roman" w:cs="Times New Roman"/>
        </w:rPr>
        <w:t xml:space="preserve">. </w:t>
      </w:r>
      <w:r w:rsidR="008D3257" w:rsidRPr="00554CDE">
        <w:rPr>
          <w:rFonts w:ascii="Times New Roman" w:hAnsi="Times New Roman" w:cs="Times New Roman"/>
        </w:rPr>
        <w:t>Komisja Europejska poddaje pod rozwagę możliwość rozszerzenia</w:t>
      </w:r>
      <w:r w:rsidR="00AA5AC2" w:rsidRPr="00554CDE">
        <w:rPr>
          <w:rFonts w:ascii="Times New Roman" w:hAnsi="Times New Roman" w:cs="Times New Roman"/>
        </w:rPr>
        <w:t xml:space="preserve"> zasady wyczerpania prawa na utwory rozpowszechniane w formie cyfrowej</w:t>
      </w:r>
      <w:r w:rsidR="00AA5AC2" w:rsidRPr="00554CDE">
        <w:rPr>
          <w:rStyle w:val="Odwoanieprzypisudolnego"/>
          <w:rFonts w:ascii="Times New Roman" w:hAnsi="Times New Roman" w:cs="Times New Roman"/>
        </w:rPr>
        <w:footnoteReference w:id="7"/>
      </w:r>
      <w:r w:rsidR="008D3257" w:rsidRPr="00554CDE">
        <w:rPr>
          <w:rFonts w:ascii="Times New Roman" w:hAnsi="Times New Roman" w:cs="Times New Roman"/>
        </w:rPr>
        <w:t>. W tym celu należy przeanalizować</w:t>
      </w:r>
      <w:r w:rsidR="00AA5AC2" w:rsidRPr="00554CDE">
        <w:rPr>
          <w:rFonts w:ascii="Times New Roman" w:hAnsi="Times New Roman" w:cs="Times New Roman"/>
        </w:rPr>
        <w:t xml:space="preserve"> praktyczne konsekwencje</w:t>
      </w:r>
      <w:r w:rsidR="008D3257" w:rsidRPr="00554CDE">
        <w:rPr>
          <w:rFonts w:ascii="Times New Roman" w:hAnsi="Times New Roman" w:cs="Times New Roman"/>
        </w:rPr>
        <w:t xml:space="preserve"> takiego rozwiązania</w:t>
      </w:r>
      <w:r w:rsidR="00AA5AC2" w:rsidRPr="00554CDE">
        <w:rPr>
          <w:rFonts w:ascii="Times New Roman" w:hAnsi="Times New Roman" w:cs="Times New Roman"/>
        </w:rPr>
        <w:t xml:space="preserve"> – zarówno dla uprawnionych jak i dla usługodawców pośredniczących w dystrybucji utworów oraz konsumentów.</w:t>
      </w:r>
    </w:p>
    <w:p w:rsidR="007E4EF7" w:rsidRPr="00554CDE" w:rsidRDefault="00AA5AC2"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w:t>
      </w:r>
      <w:r w:rsidR="007E4EF7" w:rsidRPr="00554CDE">
        <w:rPr>
          <w:rFonts w:ascii="Times New Roman" w:hAnsi="Times New Roman" w:cs="Times New Roman"/>
          <w:i/>
        </w:rPr>
        <w:t xml:space="preserve">zy zasada wyczerpania prawa powinna </w:t>
      </w:r>
      <w:r w:rsidRPr="00554CDE">
        <w:rPr>
          <w:rFonts w:ascii="Times New Roman" w:hAnsi="Times New Roman" w:cs="Times New Roman"/>
          <w:i/>
        </w:rPr>
        <w:t>mieć zastosowanie</w:t>
      </w:r>
      <w:r w:rsidR="007E4EF7" w:rsidRPr="00554CDE">
        <w:rPr>
          <w:rFonts w:ascii="Times New Roman" w:hAnsi="Times New Roman" w:cs="Times New Roman"/>
          <w:i/>
        </w:rPr>
        <w:t xml:space="preserve"> w przypadku nabycia kopii utworu w postaci cyfrowej</w:t>
      </w:r>
      <w:r w:rsidRPr="00554CDE">
        <w:rPr>
          <w:rFonts w:ascii="Times New Roman" w:hAnsi="Times New Roman" w:cs="Times New Roman"/>
          <w:i/>
        </w:rPr>
        <w:t>,</w:t>
      </w:r>
      <w:r w:rsidR="007E4EF7" w:rsidRPr="00554CDE">
        <w:rPr>
          <w:rFonts w:ascii="Times New Roman" w:hAnsi="Times New Roman" w:cs="Times New Roman"/>
          <w:i/>
        </w:rPr>
        <w:t xml:space="preserve"> a jeśli tak – w</w:t>
      </w:r>
      <w:r w:rsidRPr="00554CDE">
        <w:rPr>
          <w:rFonts w:ascii="Times New Roman" w:hAnsi="Times New Roman" w:cs="Times New Roman"/>
          <w:i/>
        </w:rPr>
        <w:t xml:space="preserve"> jaki sposób </w:t>
      </w:r>
      <w:r w:rsidR="002110E9" w:rsidRPr="00554CDE">
        <w:rPr>
          <w:rFonts w:ascii="Times New Roman" w:hAnsi="Times New Roman" w:cs="Times New Roman"/>
          <w:i/>
        </w:rPr>
        <w:t>mogłaby</w:t>
      </w:r>
      <w:r w:rsidRPr="00554CDE">
        <w:rPr>
          <w:rFonts w:ascii="Times New Roman" w:hAnsi="Times New Roman" w:cs="Times New Roman"/>
          <w:i/>
        </w:rPr>
        <w:t xml:space="preserve"> odbywać się jego dalsza dystrybucja?</w:t>
      </w:r>
    </w:p>
    <w:p w:rsidR="007E4EF7" w:rsidRPr="00554CDE" w:rsidRDefault="007E4EF7" w:rsidP="00554CDE">
      <w:pPr>
        <w:jc w:val="both"/>
        <w:rPr>
          <w:rFonts w:ascii="Times New Roman" w:hAnsi="Times New Roman" w:cs="Times New Roman"/>
        </w:rPr>
      </w:pPr>
    </w:p>
    <w:p w:rsidR="002110E9" w:rsidRPr="00554CDE" w:rsidRDefault="002110E9" w:rsidP="00554CDE">
      <w:pPr>
        <w:pStyle w:val="Nagwek2"/>
      </w:pPr>
      <w:r w:rsidRPr="00554CDE">
        <w:t>I.4. Rejestr utworów</w:t>
      </w:r>
    </w:p>
    <w:p w:rsidR="001A6725" w:rsidRPr="00554CDE" w:rsidRDefault="008D3257" w:rsidP="00554CDE">
      <w:pPr>
        <w:jc w:val="both"/>
        <w:rPr>
          <w:rFonts w:ascii="Times New Roman" w:hAnsi="Times New Roman" w:cs="Times New Roman"/>
        </w:rPr>
      </w:pPr>
      <w:r w:rsidRPr="00554CDE">
        <w:rPr>
          <w:rFonts w:ascii="Times New Roman" w:hAnsi="Times New Roman" w:cs="Times New Roman"/>
        </w:rPr>
        <w:t xml:space="preserve">Zgodnie z art. 5 ust. 2 Konwencji berneńskiej o ochronie dzieł literackich i artystycznych, korzystanie w danym państwie – stronie tej Konwencji z praw autorskich przysługujących twórcy utworu powstałego w innym państwie nie wymaga spełnienia żadnych formalności. W praktyce w wielu </w:t>
      </w:r>
      <w:r w:rsidR="00FB2029" w:rsidRPr="00554CDE">
        <w:rPr>
          <w:rFonts w:ascii="Times New Roman" w:hAnsi="Times New Roman" w:cs="Times New Roman"/>
        </w:rPr>
        <w:t>państwach</w:t>
      </w:r>
      <w:r w:rsidRPr="00554CDE">
        <w:rPr>
          <w:rFonts w:ascii="Times New Roman" w:hAnsi="Times New Roman" w:cs="Times New Roman"/>
        </w:rPr>
        <w:t xml:space="preserve"> zasadą tą objęto także twórców krajowych</w:t>
      </w:r>
      <w:r w:rsidR="00FB2029" w:rsidRPr="00554CDE">
        <w:rPr>
          <w:rStyle w:val="Odwoanieprzypisudolnego"/>
          <w:rFonts w:ascii="Times New Roman" w:hAnsi="Times New Roman" w:cs="Times New Roman"/>
        </w:rPr>
        <w:footnoteReference w:id="8"/>
      </w:r>
      <w:r w:rsidRPr="00554CDE">
        <w:rPr>
          <w:rFonts w:ascii="Times New Roman" w:hAnsi="Times New Roman" w:cs="Times New Roman"/>
        </w:rPr>
        <w:t>.</w:t>
      </w:r>
    </w:p>
    <w:p w:rsidR="008D3257" w:rsidRPr="00554CDE" w:rsidRDefault="008D3257" w:rsidP="00554CDE">
      <w:pPr>
        <w:jc w:val="both"/>
        <w:rPr>
          <w:rFonts w:ascii="Times New Roman" w:hAnsi="Times New Roman" w:cs="Times New Roman"/>
        </w:rPr>
      </w:pPr>
      <w:r w:rsidRPr="00554CDE">
        <w:rPr>
          <w:rFonts w:ascii="Times New Roman" w:hAnsi="Times New Roman" w:cs="Times New Roman"/>
        </w:rPr>
        <w:t>W związku z rozwojem technologii cyfrowych, ułatwiających eksploatację utworów, cora</w:t>
      </w:r>
      <w:r w:rsidR="00FB2029" w:rsidRPr="00554CDE">
        <w:rPr>
          <w:rFonts w:ascii="Times New Roman" w:hAnsi="Times New Roman" w:cs="Times New Roman"/>
        </w:rPr>
        <w:t>z częściej zwraca się uwagę na korzyści płynące z systemów ich rejestracji – niekoniecznie obligatoryjnych. Przykładem takiego systemu jest powstająca obecnie baza danych utworów osieroconych, do której utworzenia zobowiązany został Urząd Harmonizacji Rynku Wewnętrznego (OHIM)</w:t>
      </w:r>
      <w:r w:rsidR="00FB2029" w:rsidRPr="00554CDE">
        <w:rPr>
          <w:rStyle w:val="Odwoanieprzypisudolnego"/>
          <w:rFonts w:ascii="Times New Roman" w:hAnsi="Times New Roman" w:cs="Times New Roman"/>
        </w:rPr>
        <w:footnoteReference w:id="9"/>
      </w:r>
      <w:r w:rsidR="00FB2029" w:rsidRPr="00554CDE">
        <w:rPr>
          <w:rFonts w:ascii="Times New Roman" w:hAnsi="Times New Roman" w:cs="Times New Roman"/>
        </w:rPr>
        <w:t>.</w:t>
      </w:r>
      <w:r w:rsidR="00632580" w:rsidRPr="00554CDE">
        <w:rPr>
          <w:rFonts w:ascii="Times New Roman" w:hAnsi="Times New Roman" w:cs="Times New Roman"/>
        </w:rPr>
        <w:t xml:space="preserve"> Istnieje też wiele </w:t>
      </w:r>
      <w:r w:rsidR="0016406F" w:rsidRPr="00554CDE">
        <w:rPr>
          <w:rFonts w:ascii="Times New Roman" w:hAnsi="Times New Roman" w:cs="Times New Roman"/>
        </w:rPr>
        <w:t>baz danych</w:t>
      </w:r>
      <w:r w:rsidR="00632580" w:rsidRPr="00554CDE">
        <w:rPr>
          <w:rFonts w:ascii="Times New Roman" w:hAnsi="Times New Roman" w:cs="Times New Roman"/>
        </w:rPr>
        <w:t xml:space="preserve"> stworzonych przez producentów, wydawców, organizacje zbiorowego zarządzania czy biblioteki.</w:t>
      </w:r>
    </w:p>
    <w:p w:rsidR="00D2693C" w:rsidRPr="00554CDE" w:rsidRDefault="00FB2029"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lastRenderedPageBreak/>
        <w:t xml:space="preserve">Czy stworzenie na szczeblu UE systemu rejestracji utworów usprawniłoby ich identyfikację </w:t>
      </w:r>
      <w:r w:rsidR="00692D69">
        <w:rPr>
          <w:rFonts w:ascii="Times New Roman" w:hAnsi="Times New Roman" w:cs="Times New Roman"/>
          <w:i/>
        </w:rPr>
        <w:br/>
      </w:r>
      <w:r w:rsidRPr="00554CDE">
        <w:rPr>
          <w:rFonts w:ascii="Times New Roman" w:hAnsi="Times New Roman" w:cs="Times New Roman"/>
          <w:i/>
        </w:rPr>
        <w:t>i licencjonowanie? Jakie byłyby zalety i wady takiego systemu? W jaki sposób taki system mógłby funkcjonować, w szczególności – jakie należałoby wprowadzić zachęty dla uprawnionych do rejestrowania utworów w tym systemie?</w:t>
      </w:r>
    </w:p>
    <w:p w:rsidR="00632580" w:rsidRPr="00554CDE" w:rsidRDefault="00632580"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i w jaki sposób UE powinna wspierać tworzenie jednolitych „identyfikatorów” dla utworów, które umożliwiałyby współpracę i przepływ informacji pomiędzy różnymi bazami danych?</w:t>
      </w:r>
    </w:p>
    <w:p w:rsidR="00FB2029" w:rsidRPr="00554CDE" w:rsidRDefault="00FB2029" w:rsidP="00554CDE">
      <w:pPr>
        <w:jc w:val="both"/>
        <w:rPr>
          <w:rFonts w:ascii="Times New Roman" w:hAnsi="Times New Roman" w:cs="Times New Roman"/>
        </w:rPr>
      </w:pPr>
    </w:p>
    <w:p w:rsidR="00DE3C02" w:rsidRPr="00554CDE" w:rsidRDefault="00554CDE" w:rsidP="00554CDE">
      <w:pPr>
        <w:pStyle w:val="Nagwek2"/>
      </w:pPr>
      <w:r>
        <w:t>I.</w:t>
      </w:r>
      <w:r w:rsidR="00E258B5" w:rsidRPr="00554CDE">
        <w:t xml:space="preserve">5. </w:t>
      </w:r>
      <w:r w:rsidR="00DE3C02" w:rsidRPr="00554CDE">
        <w:t>Czas ochrony</w:t>
      </w:r>
    </w:p>
    <w:p w:rsidR="0016406F" w:rsidRPr="00554CDE" w:rsidRDefault="0016406F" w:rsidP="00554CDE">
      <w:pPr>
        <w:jc w:val="both"/>
        <w:rPr>
          <w:rFonts w:ascii="Times New Roman" w:hAnsi="Times New Roman" w:cs="Times New Roman"/>
        </w:rPr>
      </w:pPr>
      <w:r w:rsidRPr="00554CDE">
        <w:rPr>
          <w:rFonts w:ascii="Times New Roman" w:hAnsi="Times New Roman" w:cs="Times New Roman"/>
        </w:rPr>
        <w:t>Art. 7 ust. 1 Konwencji berneńskiej wprowadził minimaln</w:t>
      </w:r>
      <w:r w:rsidR="00E258B5" w:rsidRPr="00554CDE">
        <w:rPr>
          <w:rFonts w:ascii="Times New Roman" w:hAnsi="Times New Roman" w:cs="Times New Roman"/>
        </w:rPr>
        <w:t xml:space="preserve">y okres ochrony praw autorskich. Przepis ten przewiduje, że ochrona </w:t>
      </w:r>
      <w:r w:rsidRPr="00554CDE">
        <w:rPr>
          <w:rFonts w:ascii="Times New Roman" w:hAnsi="Times New Roman" w:cs="Times New Roman"/>
        </w:rPr>
        <w:t>wygasa po upływie 50 lat po śmierci twórcy. W prawie UE okres ten przedłużono do 70 lat po śmierci twórcy</w:t>
      </w:r>
      <w:r w:rsidR="00DE3C02" w:rsidRPr="00554CDE">
        <w:rPr>
          <w:rStyle w:val="Odwoanieprzypisudolnego"/>
          <w:rFonts w:ascii="Times New Roman" w:hAnsi="Times New Roman" w:cs="Times New Roman"/>
        </w:rPr>
        <w:footnoteReference w:id="10"/>
      </w:r>
      <w:r w:rsidRPr="00554CDE">
        <w:rPr>
          <w:rFonts w:ascii="Times New Roman" w:hAnsi="Times New Roman" w:cs="Times New Roman"/>
        </w:rPr>
        <w:t>.</w:t>
      </w:r>
    </w:p>
    <w:p w:rsidR="00A17CEA" w:rsidRPr="00554CDE" w:rsidRDefault="0016406F" w:rsidP="00554CDE">
      <w:pPr>
        <w:jc w:val="both"/>
        <w:rPr>
          <w:rFonts w:ascii="Times New Roman" w:hAnsi="Times New Roman" w:cs="Times New Roman"/>
        </w:rPr>
      </w:pPr>
      <w:r w:rsidRPr="00554CDE">
        <w:rPr>
          <w:rFonts w:ascii="Times New Roman" w:hAnsi="Times New Roman" w:cs="Times New Roman"/>
        </w:rPr>
        <w:t>Także</w:t>
      </w:r>
      <w:r w:rsidR="00E258B5" w:rsidRPr="00554CDE">
        <w:rPr>
          <w:rFonts w:ascii="Times New Roman" w:hAnsi="Times New Roman" w:cs="Times New Roman"/>
        </w:rPr>
        <w:t xml:space="preserve"> w stosunku do określonych</w:t>
      </w:r>
      <w:r w:rsidR="00A17CEA" w:rsidRPr="00554CDE">
        <w:rPr>
          <w:rFonts w:ascii="Times New Roman" w:hAnsi="Times New Roman" w:cs="Times New Roman"/>
        </w:rPr>
        <w:t xml:space="preserve"> </w:t>
      </w:r>
      <w:r w:rsidRPr="00554CDE">
        <w:rPr>
          <w:rFonts w:ascii="Times New Roman" w:hAnsi="Times New Roman" w:cs="Times New Roman"/>
        </w:rPr>
        <w:t xml:space="preserve">w prawie międzynarodowym </w:t>
      </w:r>
      <w:r w:rsidR="00E258B5" w:rsidRPr="00554CDE">
        <w:rPr>
          <w:rFonts w:ascii="Times New Roman" w:hAnsi="Times New Roman" w:cs="Times New Roman"/>
        </w:rPr>
        <w:t>okresów</w:t>
      </w:r>
      <w:r w:rsidR="00A17CEA" w:rsidRPr="00554CDE">
        <w:rPr>
          <w:rFonts w:ascii="Times New Roman" w:hAnsi="Times New Roman" w:cs="Times New Roman"/>
        </w:rPr>
        <w:t xml:space="preserve"> ochrony praw pokrewnych</w:t>
      </w:r>
      <w:r w:rsidR="00692D69">
        <w:rPr>
          <w:rFonts w:ascii="Times New Roman" w:hAnsi="Times New Roman" w:cs="Times New Roman"/>
        </w:rPr>
        <w:t xml:space="preserve"> </w:t>
      </w:r>
      <w:r w:rsidR="00692D69">
        <w:rPr>
          <w:rFonts w:ascii="Times New Roman" w:hAnsi="Times New Roman" w:cs="Times New Roman"/>
        </w:rPr>
        <w:br/>
      </w:r>
      <w:r w:rsidR="00E258B5" w:rsidRPr="00554CDE">
        <w:rPr>
          <w:rFonts w:ascii="Times New Roman" w:hAnsi="Times New Roman" w:cs="Times New Roman"/>
        </w:rPr>
        <w:t>w niektórych przypadkach przepisy UE wprowadziły dłuższe terminy</w:t>
      </w:r>
      <w:r w:rsidR="00A17CEA" w:rsidRPr="00554CDE">
        <w:rPr>
          <w:rFonts w:ascii="Times New Roman" w:hAnsi="Times New Roman" w:cs="Times New Roman"/>
        </w:rPr>
        <w:t xml:space="preserve">. Art. 17 Traktatu WIPO </w:t>
      </w:r>
      <w:r w:rsidR="00692D69">
        <w:rPr>
          <w:rFonts w:ascii="Times New Roman" w:hAnsi="Times New Roman" w:cs="Times New Roman"/>
        </w:rPr>
        <w:br/>
      </w:r>
      <w:r w:rsidR="00A17CEA" w:rsidRPr="00554CDE">
        <w:rPr>
          <w:rFonts w:ascii="Times New Roman" w:hAnsi="Times New Roman" w:cs="Times New Roman"/>
        </w:rPr>
        <w:t>o artystycznych wykonaniach i fonogramach wprowadził 50 letni czas ochrony</w:t>
      </w:r>
      <w:r w:rsidR="00A17CEA" w:rsidRPr="00554CDE">
        <w:rPr>
          <w:rStyle w:val="Odwoanieprzypisudolnego"/>
          <w:rFonts w:ascii="Times New Roman" w:hAnsi="Times New Roman" w:cs="Times New Roman"/>
        </w:rPr>
        <w:footnoteReference w:id="11"/>
      </w:r>
      <w:r w:rsidR="00A17CEA" w:rsidRPr="00554CDE">
        <w:rPr>
          <w:rFonts w:ascii="Times New Roman" w:hAnsi="Times New Roman" w:cs="Times New Roman"/>
        </w:rPr>
        <w:t>. W prawie UE – w przypadku fonogramów oraz wykonań muzycznych – okres ten wydłużono do 70 lat</w:t>
      </w:r>
      <w:r w:rsidR="00A17CEA" w:rsidRPr="00554CDE">
        <w:rPr>
          <w:rStyle w:val="Odwoanieprzypisudolnego"/>
          <w:rFonts w:ascii="Times New Roman" w:hAnsi="Times New Roman" w:cs="Times New Roman"/>
        </w:rPr>
        <w:footnoteReference w:id="12"/>
      </w:r>
      <w:r w:rsidR="00A17CEA" w:rsidRPr="00554CDE">
        <w:rPr>
          <w:rFonts w:ascii="Times New Roman" w:hAnsi="Times New Roman" w:cs="Times New Roman"/>
        </w:rPr>
        <w:t>. Natomiast 20-letni czas ochrony nadań wprowadzony art. 14 Konwencji rzymskiej o ochronie wykonawców, producentów fonogramów oraz organizacji nadawczych,</w:t>
      </w:r>
      <w:r w:rsidR="00E258B5" w:rsidRPr="00554CDE">
        <w:rPr>
          <w:rFonts w:ascii="Times New Roman" w:hAnsi="Times New Roman" w:cs="Times New Roman"/>
        </w:rPr>
        <w:t xml:space="preserve"> w przepisach UE wydłużono</w:t>
      </w:r>
      <w:r w:rsidR="00A17CEA" w:rsidRPr="00554CDE">
        <w:rPr>
          <w:rFonts w:ascii="Times New Roman" w:hAnsi="Times New Roman" w:cs="Times New Roman"/>
        </w:rPr>
        <w:t xml:space="preserve"> do 50 lat</w:t>
      </w:r>
      <w:r w:rsidR="00DE3C02" w:rsidRPr="00554CDE">
        <w:rPr>
          <w:rStyle w:val="Odwoanieprzypisudolnego"/>
          <w:rFonts w:ascii="Times New Roman" w:hAnsi="Times New Roman" w:cs="Times New Roman"/>
        </w:rPr>
        <w:footnoteReference w:id="13"/>
      </w:r>
      <w:r w:rsidR="00A17CEA" w:rsidRPr="00554CDE">
        <w:rPr>
          <w:rFonts w:ascii="Times New Roman" w:hAnsi="Times New Roman" w:cs="Times New Roman"/>
        </w:rPr>
        <w:t>.</w:t>
      </w:r>
    </w:p>
    <w:p w:rsidR="00FB2029" w:rsidRPr="00554CDE" w:rsidRDefault="00DE3C02"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Czy obowiązujące obecnie okresy ochrony poszczególnych praw </w:t>
      </w:r>
      <w:r w:rsidR="00327209" w:rsidRPr="00554CDE">
        <w:rPr>
          <w:rFonts w:ascii="Times New Roman" w:hAnsi="Times New Roman" w:cs="Times New Roman"/>
          <w:i/>
        </w:rPr>
        <w:t>w dalszym ciągu</w:t>
      </w:r>
      <w:r w:rsidRPr="00554CDE">
        <w:rPr>
          <w:rFonts w:ascii="Times New Roman" w:hAnsi="Times New Roman" w:cs="Times New Roman"/>
          <w:i/>
        </w:rPr>
        <w:t xml:space="preserve"> znajdują uzasadnienie?</w:t>
      </w:r>
    </w:p>
    <w:p w:rsidR="00047121" w:rsidRPr="00554CDE" w:rsidRDefault="00047121" w:rsidP="00554CDE">
      <w:pPr>
        <w:jc w:val="both"/>
        <w:rPr>
          <w:rFonts w:ascii="Times New Roman" w:hAnsi="Times New Roman" w:cs="Times New Roman"/>
          <w:b/>
        </w:rPr>
      </w:pPr>
    </w:p>
    <w:p w:rsidR="00333ABA" w:rsidRPr="00554CDE" w:rsidRDefault="00E258B5" w:rsidP="00554CDE">
      <w:pPr>
        <w:pStyle w:val="Nagwek2"/>
      </w:pPr>
      <w:r w:rsidRPr="00554CDE">
        <w:t xml:space="preserve">I.6. </w:t>
      </w:r>
      <w:r w:rsidR="00333ABA" w:rsidRPr="00554CDE">
        <w:t>Prawo do wynagrodzenia dla twórców i wykonawców</w:t>
      </w:r>
    </w:p>
    <w:p w:rsidR="00333ABA" w:rsidRPr="00554CDE" w:rsidRDefault="00333ABA" w:rsidP="00554CDE">
      <w:pPr>
        <w:jc w:val="both"/>
        <w:rPr>
          <w:rFonts w:ascii="Times New Roman" w:hAnsi="Times New Roman" w:cs="Times New Roman"/>
        </w:rPr>
      </w:pPr>
      <w:r w:rsidRPr="00554CDE">
        <w:rPr>
          <w:rFonts w:ascii="Times New Roman" w:hAnsi="Times New Roman" w:cs="Times New Roman"/>
        </w:rPr>
        <w:t xml:space="preserve">Oprócz katalogu praw wyłącznych przyznanych w prawie UE twórcom i artystom wykonawcom, niektóre przepisy </w:t>
      </w:r>
      <w:r w:rsidR="00E258B5" w:rsidRPr="00554CDE">
        <w:rPr>
          <w:rFonts w:ascii="Times New Roman" w:hAnsi="Times New Roman" w:cs="Times New Roman"/>
        </w:rPr>
        <w:t xml:space="preserve">przyznają </w:t>
      </w:r>
      <w:r w:rsidRPr="00554CDE">
        <w:rPr>
          <w:rFonts w:ascii="Times New Roman" w:hAnsi="Times New Roman" w:cs="Times New Roman"/>
        </w:rPr>
        <w:t xml:space="preserve">uprawnionym </w:t>
      </w:r>
      <w:r w:rsidR="00E258B5" w:rsidRPr="00554CDE">
        <w:rPr>
          <w:rFonts w:ascii="Times New Roman" w:hAnsi="Times New Roman" w:cs="Times New Roman"/>
        </w:rPr>
        <w:t xml:space="preserve">niezbywalne prawo do wynagrodzenia, </w:t>
      </w:r>
      <w:r w:rsidRPr="00554CDE">
        <w:rPr>
          <w:rFonts w:ascii="Times New Roman" w:hAnsi="Times New Roman" w:cs="Times New Roman"/>
        </w:rPr>
        <w:t>niezależnie od przeniesienia przez nich praw na producenta, np. w przypadku najmu egzemplarzy filmów</w:t>
      </w:r>
      <w:r w:rsidRPr="00554CDE">
        <w:rPr>
          <w:rStyle w:val="Odwoanieprzypisudolnego"/>
          <w:rFonts w:ascii="Times New Roman" w:hAnsi="Times New Roman" w:cs="Times New Roman"/>
        </w:rPr>
        <w:footnoteReference w:id="14"/>
      </w:r>
      <w:r w:rsidRPr="00554CDE">
        <w:rPr>
          <w:rFonts w:ascii="Times New Roman" w:hAnsi="Times New Roman" w:cs="Times New Roman"/>
        </w:rPr>
        <w:t>.</w:t>
      </w:r>
    </w:p>
    <w:p w:rsidR="00333ABA" w:rsidRPr="00554CDE" w:rsidRDefault="00333ABA"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Czy prawo UE </w:t>
      </w:r>
      <w:r w:rsidR="00177B25" w:rsidRPr="00554CDE">
        <w:rPr>
          <w:rFonts w:ascii="Times New Roman" w:hAnsi="Times New Roman" w:cs="Times New Roman"/>
          <w:i/>
        </w:rPr>
        <w:t>powinno przewidywać inne przypadki wynagrodzenia przysługującego twórcom i artystom wykonawcom z tytułu określonej eksploatacji, niezależne od przeniesienia przez nich praw?</w:t>
      </w:r>
      <w:r w:rsidR="00286ED2">
        <w:rPr>
          <w:rFonts w:ascii="Times New Roman" w:hAnsi="Times New Roman" w:cs="Times New Roman"/>
          <w:i/>
        </w:rPr>
        <w:t xml:space="preserve"> Jeśli tak, to w przypadku jakich form eksploatacji ?</w:t>
      </w:r>
    </w:p>
    <w:p w:rsidR="00333ABA" w:rsidRPr="00554CDE" w:rsidRDefault="00333ABA" w:rsidP="00554CDE">
      <w:pPr>
        <w:jc w:val="both"/>
        <w:rPr>
          <w:rFonts w:ascii="Times New Roman" w:hAnsi="Times New Roman" w:cs="Times New Roman"/>
          <w:b/>
        </w:rPr>
      </w:pPr>
    </w:p>
    <w:p w:rsidR="00177B25" w:rsidRPr="00554CDE" w:rsidRDefault="00554CDE" w:rsidP="00554CDE">
      <w:pPr>
        <w:pStyle w:val="Nagwek2"/>
      </w:pPr>
      <w:r>
        <w:t>I.</w:t>
      </w:r>
      <w:r w:rsidR="00E258B5" w:rsidRPr="00554CDE">
        <w:t xml:space="preserve">7. </w:t>
      </w:r>
      <w:r w:rsidR="00177B25" w:rsidRPr="00554CDE">
        <w:t>Ochrona praw</w:t>
      </w:r>
    </w:p>
    <w:p w:rsidR="00177B25" w:rsidRPr="00554CDE" w:rsidRDefault="00C347A8" w:rsidP="00554CDE">
      <w:pPr>
        <w:jc w:val="both"/>
        <w:rPr>
          <w:rFonts w:ascii="Times New Roman" w:hAnsi="Times New Roman" w:cs="Times New Roman"/>
        </w:rPr>
      </w:pPr>
      <w:r w:rsidRPr="00554CDE">
        <w:rPr>
          <w:rFonts w:ascii="Times New Roman" w:hAnsi="Times New Roman" w:cs="Times New Roman"/>
        </w:rPr>
        <w:t xml:space="preserve">Dyrektywa 2004/48/WE w sprawie egzekwowania praw własności intelektualnej dokonała harmonizacji </w:t>
      </w:r>
      <w:r w:rsidR="00E258B5" w:rsidRPr="00554CDE">
        <w:rPr>
          <w:rFonts w:ascii="Times New Roman" w:hAnsi="Times New Roman" w:cs="Times New Roman"/>
        </w:rPr>
        <w:t xml:space="preserve">zasad </w:t>
      </w:r>
      <w:r w:rsidRPr="00554CDE">
        <w:rPr>
          <w:rFonts w:ascii="Times New Roman" w:hAnsi="Times New Roman" w:cs="Times New Roman"/>
        </w:rPr>
        <w:t>dochodzenia roszczeń</w:t>
      </w:r>
      <w:r w:rsidR="00E258B5" w:rsidRPr="00554CDE">
        <w:rPr>
          <w:rFonts w:ascii="Times New Roman" w:hAnsi="Times New Roman" w:cs="Times New Roman"/>
        </w:rPr>
        <w:t xml:space="preserve"> na drodze cywilnoprawnej</w:t>
      </w:r>
      <w:r w:rsidRPr="00554CDE">
        <w:rPr>
          <w:rFonts w:ascii="Times New Roman" w:hAnsi="Times New Roman" w:cs="Times New Roman"/>
        </w:rPr>
        <w:t xml:space="preserve"> w przypadkach naruszeń</w:t>
      </w:r>
      <w:r w:rsidR="00E258B5" w:rsidRPr="00554CDE">
        <w:rPr>
          <w:rFonts w:ascii="Times New Roman" w:hAnsi="Times New Roman" w:cs="Times New Roman"/>
        </w:rPr>
        <w:t xml:space="preserve"> tych</w:t>
      </w:r>
      <w:r w:rsidRPr="00554CDE">
        <w:rPr>
          <w:rFonts w:ascii="Times New Roman" w:hAnsi="Times New Roman" w:cs="Times New Roman"/>
        </w:rPr>
        <w:t xml:space="preserve"> praw. W ostatnio prowadzonych konsultacjach społecznych, zarówno przez Komisję Europejską</w:t>
      </w:r>
      <w:r w:rsidR="00E258B5" w:rsidRPr="00554CDE">
        <w:rPr>
          <w:rStyle w:val="Odwoanieprzypisudolnego"/>
          <w:rFonts w:ascii="Times New Roman" w:hAnsi="Times New Roman" w:cs="Times New Roman"/>
        </w:rPr>
        <w:footnoteReference w:id="15"/>
      </w:r>
      <w:r w:rsidRPr="00554CDE">
        <w:rPr>
          <w:rFonts w:ascii="Times New Roman" w:hAnsi="Times New Roman" w:cs="Times New Roman"/>
        </w:rPr>
        <w:t>, jak i MKiDN</w:t>
      </w:r>
      <w:r w:rsidR="00E258B5" w:rsidRPr="00554CDE">
        <w:rPr>
          <w:rStyle w:val="Odwoanieprzypisudolnego"/>
          <w:rFonts w:ascii="Times New Roman" w:hAnsi="Times New Roman" w:cs="Times New Roman"/>
        </w:rPr>
        <w:footnoteReference w:id="16"/>
      </w:r>
      <w:r w:rsidRPr="00554CDE">
        <w:rPr>
          <w:rFonts w:ascii="Times New Roman" w:hAnsi="Times New Roman" w:cs="Times New Roman"/>
        </w:rPr>
        <w:t xml:space="preserve">, zwracano uwagę na nieefektywność  tych procedur w przypadku naruszeń dokonywanych w </w:t>
      </w:r>
      <w:proofErr w:type="spellStart"/>
      <w:r w:rsidRPr="00554CDE">
        <w:rPr>
          <w:rFonts w:ascii="Times New Roman" w:hAnsi="Times New Roman" w:cs="Times New Roman"/>
        </w:rPr>
        <w:t>internecie</w:t>
      </w:r>
      <w:proofErr w:type="spellEnd"/>
      <w:r w:rsidRPr="00554CDE">
        <w:rPr>
          <w:rFonts w:ascii="Times New Roman" w:hAnsi="Times New Roman" w:cs="Times New Roman"/>
        </w:rPr>
        <w:t xml:space="preserve">. Z drugiej strony podnoszona jest konieczność zachowania odpowiedniej równowagi pomiędzy poszczególnymi prawami podstawowymi, </w:t>
      </w:r>
      <w:r w:rsidR="00E258B5" w:rsidRPr="00554CDE">
        <w:rPr>
          <w:rFonts w:ascii="Times New Roman" w:hAnsi="Times New Roman" w:cs="Times New Roman"/>
        </w:rPr>
        <w:t>do których należy</w:t>
      </w:r>
      <w:r w:rsidRPr="00554CDE">
        <w:rPr>
          <w:rFonts w:ascii="Times New Roman" w:hAnsi="Times New Roman" w:cs="Times New Roman"/>
        </w:rPr>
        <w:t xml:space="preserve"> zarówno prawo własności </w:t>
      </w:r>
      <w:r w:rsidR="00692D69">
        <w:rPr>
          <w:rFonts w:ascii="Times New Roman" w:hAnsi="Times New Roman" w:cs="Times New Roman"/>
        </w:rPr>
        <w:br/>
      </w:r>
      <w:r w:rsidRPr="00554CDE">
        <w:rPr>
          <w:rFonts w:ascii="Times New Roman" w:hAnsi="Times New Roman" w:cs="Times New Roman"/>
        </w:rPr>
        <w:t>(w tym intelektualnej), jak i prawo do prywatności czy ochrony danych osobowych. W tym kontekście w szczególności istotne staje się skuteczne egzekwowanie praw naruszanych na skalę komercyjną.</w:t>
      </w:r>
    </w:p>
    <w:p w:rsidR="008F7C5E" w:rsidRPr="00554CDE" w:rsidRDefault="008F7C5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Jakie działania należy podjąć na szczeblu UE aby zapewnić skuteczne egzekwowanie praw własności intelektualnych w przypadku naruszeń dokonywanych na skalę komercyjną, w szczególności w </w:t>
      </w:r>
      <w:proofErr w:type="spellStart"/>
      <w:r w:rsidRPr="00554CDE">
        <w:rPr>
          <w:rFonts w:ascii="Times New Roman" w:hAnsi="Times New Roman" w:cs="Times New Roman"/>
          <w:i/>
        </w:rPr>
        <w:t>internecie</w:t>
      </w:r>
      <w:proofErr w:type="spellEnd"/>
      <w:r w:rsidRPr="00554CDE">
        <w:rPr>
          <w:rFonts w:ascii="Times New Roman" w:hAnsi="Times New Roman" w:cs="Times New Roman"/>
          <w:i/>
        </w:rPr>
        <w:t>?</w:t>
      </w:r>
    </w:p>
    <w:p w:rsidR="008F7C5E" w:rsidRPr="00554CDE" w:rsidRDefault="008F7C5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Jaka powinna być rola pośredników (zarówno usługodawców internetowych jak i dostawców reklam, podmiotów obsługujących płatności czy rejestrujących domeny internetowe) przy zwalczaniu tego rodzaju naruszeń?</w:t>
      </w:r>
    </w:p>
    <w:p w:rsidR="008F7C5E" w:rsidRPr="00554CDE" w:rsidRDefault="008F7C5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W jaki sposób zapewnić równowagę pomiędzy skuteczną ochroną praw własności intelektualnej</w:t>
      </w:r>
      <w:r w:rsidR="00E258B5" w:rsidRPr="00554CDE">
        <w:rPr>
          <w:rFonts w:ascii="Times New Roman" w:hAnsi="Times New Roman" w:cs="Times New Roman"/>
          <w:i/>
        </w:rPr>
        <w:t xml:space="preserve"> w sieci</w:t>
      </w:r>
      <w:r w:rsidRPr="00554CDE">
        <w:rPr>
          <w:rFonts w:ascii="Times New Roman" w:hAnsi="Times New Roman" w:cs="Times New Roman"/>
          <w:i/>
        </w:rPr>
        <w:t xml:space="preserve"> a prawem do prywatności i ochroną danych osobowych?</w:t>
      </w:r>
    </w:p>
    <w:p w:rsidR="00DE3C02" w:rsidRPr="00554CDE" w:rsidRDefault="00DE3C02" w:rsidP="00554CDE">
      <w:pPr>
        <w:pStyle w:val="Nagwek1"/>
      </w:pPr>
      <w:r w:rsidRPr="00554CDE">
        <w:t>II. Dozwolony użytek</w:t>
      </w:r>
    </w:p>
    <w:p w:rsidR="00A9184E" w:rsidRPr="00554CDE" w:rsidRDefault="00962A48" w:rsidP="00554CDE">
      <w:pPr>
        <w:pStyle w:val="Nagwek2"/>
      </w:pPr>
      <w:r w:rsidRPr="00554CDE">
        <w:t xml:space="preserve">II. 1. </w:t>
      </w:r>
      <w:r w:rsidR="00A9184E" w:rsidRPr="00554CDE">
        <w:t>Część ogólna</w:t>
      </w:r>
    </w:p>
    <w:p w:rsidR="00DE3C02" w:rsidRPr="00554CDE" w:rsidRDefault="00111ECB" w:rsidP="00554CDE">
      <w:pPr>
        <w:jc w:val="both"/>
        <w:rPr>
          <w:rFonts w:ascii="Times New Roman" w:hAnsi="Times New Roman" w:cs="Times New Roman"/>
        </w:rPr>
      </w:pPr>
      <w:r w:rsidRPr="00554CDE">
        <w:rPr>
          <w:rFonts w:ascii="Times New Roman" w:hAnsi="Times New Roman" w:cs="Times New Roman"/>
        </w:rPr>
        <w:t xml:space="preserve">Wyjątki i ograniczenia praw wyłącznych, zwane też dozwolonym użytkiem, umożliwiają korzystanie z utworów i przedmiotów praw pokrewnych, w określonych celach i określonym zakresie, bez zgody uprawnionych.  W prawie międzynarodowym wprowadzono zasadę, zgodnie z którą dozwolony użytek powinien być ograniczony do </w:t>
      </w:r>
      <w:r w:rsidR="00D21668" w:rsidRPr="00554CDE">
        <w:rPr>
          <w:rFonts w:ascii="Times New Roman" w:hAnsi="Times New Roman" w:cs="Times New Roman"/>
        </w:rPr>
        <w:t xml:space="preserve">pewnych </w:t>
      </w:r>
      <w:r w:rsidRPr="00554CDE">
        <w:rPr>
          <w:rFonts w:ascii="Times New Roman" w:hAnsi="Times New Roman" w:cs="Times New Roman"/>
        </w:rPr>
        <w:t xml:space="preserve">szczególnych przypadków oraz nie powinien </w:t>
      </w:r>
      <w:r w:rsidR="00D21668" w:rsidRPr="00554CDE">
        <w:rPr>
          <w:rFonts w:ascii="Times New Roman" w:hAnsi="Times New Roman" w:cs="Times New Roman"/>
        </w:rPr>
        <w:t>stać w sprzeczności z normalnym</w:t>
      </w:r>
      <w:r w:rsidRPr="00554CDE">
        <w:rPr>
          <w:rFonts w:ascii="Times New Roman" w:hAnsi="Times New Roman" w:cs="Times New Roman"/>
        </w:rPr>
        <w:t xml:space="preserve"> </w:t>
      </w:r>
      <w:r w:rsidR="00D21668" w:rsidRPr="00554CDE">
        <w:rPr>
          <w:rFonts w:ascii="Times New Roman" w:hAnsi="Times New Roman" w:cs="Times New Roman"/>
        </w:rPr>
        <w:t>wykorzystaniem</w:t>
      </w:r>
      <w:r w:rsidRPr="00554CDE">
        <w:rPr>
          <w:rFonts w:ascii="Times New Roman" w:hAnsi="Times New Roman" w:cs="Times New Roman"/>
        </w:rPr>
        <w:t xml:space="preserve"> utworu</w:t>
      </w:r>
      <w:r w:rsidR="00D21668" w:rsidRPr="00554CDE">
        <w:rPr>
          <w:rFonts w:ascii="Times New Roman" w:hAnsi="Times New Roman" w:cs="Times New Roman"/>
        </w:rPr>
        <w:t xml:space="preserve"> (lub przedmiotu prawa pokrewnego)</w:t>
      </w:r>
      <w:r w:rsidRPr="00554CDE">
        <w:rPr>
          <w:rFonts w:ascii="Times New Roman" w:hAnsi="Times New Roman" w:cs="Times New Roman"/>
        </w:rPr>
        <w:t xml:space="preserve"> ani </w:t>
      </w:r>
      <w:r w:rsidR="00D21668" w:rsidRPr="00554CDE">
        <w:rPr>
          <w:rFonts w:ascii="Times New Roman" w:hAnsi="Times New Roman" w:cs="Times New Roman"/>
        </w:rPr>
        <w:t>w sposób nieuzasadniony naruszać prawowitych interesów</w:t>
      </w:r>
      <w:r w:rsidRPr="00554CDE">
        <w:rPr>
          <w:rFonts w:ascii="Times New Roman" w:hAnsi="Times New Roman" w:cs="Times New Roman"/>
        </w:rPr>
        <w:t xml:space="preserve"> uprawnionego</w:t>
      </w:r>
      <w:r w:rsidRPr="00554CDE">
        <w:rPr>
          <w:rStyle w:val="Odwoanieprzypisudolnego"/>
          <w:rFonts w:ascii="Times New Roman" w:hAnsi="Times New Roman" w:cs="Times New Roman"/>
        </w:rPr>
        <w:footnoteReference w:id="17"/>
      </w:r>
      <w:r w:rsidRPr="00554CDE">
        <w:rPr>
          <w:rFonts w:ascii="Times New Roman" w:hAnsi="Times New Roman" w:cs="Times New Roman"/>
        </w:rPr>
        <w:t>. Określa się ją mianem trójstopniowego testu.</w:t>
      </w:r>
    </w:p>
    <w:p w:rsidR="00AD3EE0" w:rsidRPr="00554CDE" w:rsidRDefault="00FE485E" w:rsidP="00554CDE">
      <w:pPr>
        <w:jc w:val="both"/>
        <w:rPr>
          <w:rFonts w:ascii="Times New Roman" w:hAnsi="Times New Roman" w:cs="Times New Roman"/>
        </w:rPr>
      </w:pPr>
      <w:r w:rsidRPr="00554CDE">
        <w:rPr>
          <w:rFonts w:ascii="Times New Roman" w:hAnsi="Times New Roman" w:cs="Times New Roman"/>
        </w:rPr>
        <w:t>Przepisy dyrektyw UE przewidują zamkniętą</w:t>
      </w:r>
      <w:r w:rsidR="00D21668" w:rsidRPr="00554CDE">
        <w:rPr>
          <w:rFonts w:ascii="Times New Roman" w:hAnsi="Times New Roman" w:cs="Times New Roman"/>
        </w:rPr>
        <w:t xml:space="preserve"> listę wyjątków</w:t>
      </w:r>
      <w:r w:rsidR="00D21668" w:rsidRPr="00554CDE">
        <w:rPr>
          <w:rStyle w:val="Odwoanieprzypisudolnego"/>
          <w:rFonts w:ascii="Times New Roman" w:hAnsi="Times New Roman" w:cs="Times New Roman"/>
        </w:rPr>
        <w:footnoteReference w:id="18"/>
      </w:r>
      <w:r w:rsidR="00D21668" w:rsidRPr="00554CDE">
        <w:rPr>
          <w:rFonts w:ascii="Times New Roman" w:hAnsi="Times New Roman" w:cs="Times New Roman"/>
        </w:rPr>
        <w:t>, z których</w:t>
      </w:r>
      <w:r w:rsidR="00145EBD" w:rsidRPr="00554CDE">
        <w:rPr>
          <w:rFonts w:ascii="Times New Roman" w:hAnsi="Times New Roman" w:cs="Times New Roman"/>
        </w:rPr>
        <w:t xml:space="preserve"> większość jest opcjonalna, tj. państwa członkowskie nie mają obowiązku ich wprowadzenia w prawie krajowym</w:t>
      </w:r>
      <w:r w:rsidR="002D2EF4" w:rsidRPr="00554CDE">
        <w:rPr>
          <w:rStyle w:val="Odwoanieprzypisudolnego"/>
          <w:rFonts w:ascii="Times New Roman" w:hAnsi="Times New Roman" w:cs="Times New Roman"/>
        </w:rPr>
        <w:footnoteReference w:id="19"/>
      </w:r>
      <w:r w:rsidR="00AD3EE0" w:rsidRPr="00554CDE">
        <w:rPr>
          <w:rFonts w:ascii="Times New Roman" w:hAnsi="Times New Roman" w:cs="Times New Roman"/>
        </w:rPr>
        <w:t xml:space="preserve">. Powoduje to, że dozwolony użytek jest w przepisach krajowych poszczególnych państw członkowskich implementowany w sposób niejednolity, przez co takie samo działanie może być </w:t>
      </w:r>
      <w:r w:rsidRPr="00554CDE">
        <w:rPr>
          <w:rFonts w:ascii="Times New Roman" w:hAnsi="Times New Roman" w:cs="Times New Roman"/>
        </w:rPr>
        <w:t>–</w:t>
      </w:r>
      <w:r w:rsidR="00AD3EE0" w:rsidRPr="00554CDE">
        <w:rPr>
          <w:rFonts w:ascii="Times New Roman" w:hAnsi="Times New Roman" w:cs="Times New Roman"/>
        </w:rPr>
        <w:t xml:space="preserve"> w zależności od państwa członkowskiego</w:t>
      </w:r>
      <w:r w:rsidRPr="00554CDE">
        <w:rPr>
          <w:rFonts w:ascii="Times New Roman" w:hAnsi="Times New Roman" w:cs="Times New Roman"/>
        </w:rPr>
        <w:t xml:space="preserve"> – kwalifikowane jako dopuszczalne bądź niedozwolone</w:t>
      </w:r>
      <w:r w:rsidR="00AD3EE0" w:rsidRPr="00554CDE">
        <w:rPr>
          <w:rFonts w:ascii="Times New Roman" w:hAnsi="Times New Roman" w:cs="Times New Roman"/>
        </w:rPr>
        <w:t>.</w:t>
      </w:r>
      <w:r w:rsidR="00383FB3" w:rsidRPr="00554CDE">
        <w:rPr>
          <w:rFonts w:ascii="Times New Roman" w:hAnsi="Times New Roman" w:cs="Times New Roman"/>
        </w:rPr>
        <w:t xml:space="preserve"> Oznacza to też, że korzystanie z utworu (przedmiotu prawa pokrewnego) w ramach dozwolonego użytku musi być ograniczone do terytorium państwa członkowskiego, na podstawie którego przepisów się ono odbywa</w:t>
      </w:r>
      <w:r w:rsidRPr="00554CDE">
        <w:rPr>
          <w:rStyle w:val="Odwoanieprzypisudolnego"/>
          <w:rFonts w:ascii="Times New Roman" w:hAnsi="Times New Roman" w:cs="Times New Roman"/>
        </w:rPr>
        <w:footnoteReference w:id="20"/>
      </w:r>
      <w:r w:rsidR="00383FB3" w:rsidRPr="00554CDE">
        <w:rPr>
          <w:rFonts w:ascii="Times New Roman" w:hAnsi="Times New Roman" w:cs="Times New Roman"/>
        </w:rPr>
        <w:t>.</w:t>
      </w:r>
    </w:p>
    <w:p w:rsidR="00D21668" w:rsidRPr="00554CDE" w:rsidRDefault="00E258B5" w:rsidP="00554CDE">
      <w:pPr>
        <w:jc w:val="both"/>
        <w:rPr>
          <w:rFonts w:ascii="Times New Roman" w:hAnsi="Times New Roman" w:cs="Times New Roman"/>
        </w:rPr>
      </w:pPr>
      <w:r w:rsidRPr="00554CDE">
        <w:rPr>
          <w:rFonts w:ascii="Times New Roman" w:hAnsi="Times New Roman" w:cs="Times New Roman"/>
        </w:rPr>
        <w:t>Ponadto w większości przypadków w przepisach UE</w:t>
      </w:r>
      <w:r w:rsidR="007F120E" w:rsidRPr="00554CDE">
        <w:rPr>
          <w:rFonts w:ascii="Times New Roman" w:hAnsi="Times New Roman" w:cs="Times New Roman"/>
        </w:rPr>
        <w:t xml:space="preserve"> </w:t>
      </w:r>
      <w:r w:rsidR="00692D69">
        <w:rPr>
          <w:rFonts w:ascii="Times New Roman" w:hAnsi="Times New Roman" w:cs="Times New Roman"/>
        </w:rPr>
        <w:t>powielono wprowadzony w konwencjach międzynarodowych</w:t>
      </w:r>
      <w:r w:rsidR="005B7F81" w:rsidRPr="00554CDE">
        <w:rPr>
          <w:rFonts w:ascii="Times New Roman" w:hAnsi="Times New Roman" w:cs="Times New Roman"/>
        </w:rPr>
        <w:t xml:space="preserve"> trójstopniowy</w:t>
      </w:r>
      <w:r w:rsidR="00D21668" w:rsidRPr="00554CDE">
        <w:rPr>
          <w:rFonts w:ascii="Times New Roman" w:hAnsi="Times New Roman" w:cs="Times New Roman"/>
        </w:rPr>
        <w:t xml:space="preserve"> te</w:t>
      </w:r>
      <w:r w:rsidR="005B7F81" w:rsidRPr="00554CDE">
        <w:rPr>
          <w:rFonts w:ascii="Times New Roman" w:hAnsi="Times New Roman" w:cs="Times New Roman"/>
        </w:rPr>
        <w:t>st</w:t>
      </w:r>
      <w:r w:rsidR="007F120E" w:rsidRPr="00554CDE">
        <w:rPr>
          <w:rStyle w:val="Odwoanieprzypisudolnego"/>
          <w:rFonts w:ascii="Times New Roman" w:hAnsi="Times New Roman" w:cs="Times New Roman"/>
        </w:rPr>
        <w:footnoteReference w:id="21"/>
      </w:r>
      <w:r w:rsidR="00D21668" w:rsidRPr="00554CDE">
        <w:rPr>
          <w:rFonts w:ascii="Times New Roman" w:hAnsi="Times New Roman" w:cs="Times New Roman"/>
        </w:rPr>
        <w:t>, tym samym wyraźnie zobowiązując państwa członkowskie do respektowania określonych w nim zasad</w:t>
      </w:r>
      <w:r w:rsidR="005B7F81" w:rsidRPr="00554CDE">
        <w:rPr>
          <w:rFonts w:ascii="Times New Roman" w:hAnsi="Times New Roman" w:cs="Times New Roman"/>
        </w:rPr>
        <w:t xml:space="preserve"> podczas implementacji bądź stosowania wyjątków przewidzianych w dyrektywach</w:t>
      </w:r>
      <w:r w:rsidR="007F120E" w:rsidRPr="00554CDE">
        <w:rPr>
          <w:rStyle w:val="Odwoanieprzypisudolnego"/>
          <w:rFonts w:ascii="Times New Roman" w:hAnsi="Times New Roman" w:cs="Times New Roman"/>
        </w:rPr>
        <w:footnoteReference w:id="22"/>
      </w:r>
      <w:r w:rsidR="00D21668" w:rsidRPr="00554CDE">
        <w:rPr>
          <w:rFonts w:ascii="Times New Roman" w:hAnsi="Times New Roman" w:cs="Times New Roman"/>
        </w:rPr>
        <w:t>.</w:t>
      </w:r>
    </w:p>
    <w:p w:rsidR="002D2EF4" w:rsidRPr="00554CDE" w:rsidRDefault="002D2EF4"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przepisy UE powinny zobowiązywać państwa członkowskie do wprowadzenia wszystkich (bądź wybranych) wyjątków w prawie krajowym?</w:t>
      </w:r>
    </w:p>
    <w:p w:rsidR="002D2EF4" w:rsidRPr="00554CDE" w:rsidRDefault="002D2EF4"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Jakie przypadki dozwolonego użytku należałoby usunąć</w:t>
      </w:r>
      <w:r w:rsidR="00286ED2">
        <w:rPr>
          <w:rFonts w:ascii="Times New Roman" w:hAnsi="Times New Roman" w:cs="Times New Roman"/>
          <w:i/>
        </w:rPr>
        <w:t>,</w:t>
      </w:r>
      <w:r w:rsidRPr="00554CDE">
        <w:rPr>
          <w:rFonts w:ascii="Times New Roman" w:hAnsi="Times New Roman" w:cs="Times New Roman"/>
          <w:i/>
        </w:rPr>
        <w:t xml:space="preserve"> a jakie dodać do obecnego katalogu wyjątków, określonego w dyrektywach UE?</w:t>
      </w:r>
    </w:p>
    <w:p w:rsidR="002D2EF4" w:rsidRPr="00554CDE" w:rsidRDefault="002D2EF4"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Czy przepisy prawa UE o dozwolonym użytku powinny być sformułowane w sposób bardziej elastyczny, czy też bardziej </w:t>
      </w:r>
      <w:r w:rsidR="00FE485E" w:rsidRPr="00554CDE">
        <w:rPr>
          <w:rFonts w:ascii="Times New Roman" w:hAnsi="Times New Roman" w:cs="Times New Roman"/>
          <w:i/>
        </w:rPr>
        <w:t>precyzyjny</w:t>
      </w:r>
      <w:r w:rsidRPr="00554CDE">
        <w:rPr>
          <w:rFonts w:ascii="Times New Roman" w:hAnsi="Times New Roman" w:cs="Times New Roman"/>
          <w:i/>
        </w:rPr>
        <w:t xml:space="preserve"> niż obecnie? W jaki sposób powinno to zostać dokonane i w odniesieniu do których wyjątków?</w:t>
      </w:r>
    </w:p>
    <w:p w:rsidR="002D2EF4" w:rsidRPr="00554CDE" w:rsidRDefault="00947FE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terytorialne ograniczenie możliwości korzystania z</w:t>
      </w:r>
      <w:r w:rsidR="00383FB3" w:rsidRPr="00554CDE">
        <w:rPr>
          <w:rFonts w:ascii="Times New Roman" w:hAnsi="Times New Roman" w:cs="Times New Roman"/>
          <w:i/>
        </w:rPr>
        <w:t xml:space="preserve"> wyjątków i ograniczeń stanowi </w:t>
      </w:r>
      <w:r w:rsidR="00692D69">
        <w:rPr>
          <w:rFonts w:ascii="Times New Roman" w:hAnsi="Times New Roman" w:cs="Times New Roman"/>
          <w:i/>
        </w:rPr>
        <w:br/>
      </w:r>
      <w:r w:rsidR="00383FB3" w:rsidRPr="00554CDE">
        <w:rPr>
          <w:rFonts w:ascii="Times New Roman" w:hAnsi="Times New Roman" w:cs="Times New Roman"/>
          <w:i/>
        </w:rPr>
        <w:t>w Państwa opinii problem</w:t>
      </w:r>
      <w:r w:rsidRPr="00554CDE">
        <w:rPr>
          <w:rFonts w:ascii="Times New Roman" w:hAnsi="Times New Roman" w:cs="Times New Roman"/>
          <w:i/>
        </w:rPr>
        <w:t>,</w:t>
      </w:r>
      <w:r w:rsidR="00FE485E" w:rsidRPr="00554CDE">
        <w:rPr>
          <w:rFonts w:ascii="Times New Roman" w:hAnsi="Times New Roman" w:cs="Times New Roman"/>
          <w:i/>
        </w:rPr>
        <w:t xml:space="preserve"> a jeśli tak – w jaki sposób mógłby on zostać rozwiązany</w:t>
      </w:r>
      <w:r w:rsidR="00383FB3" w:rsidRPr="00554CDE">
        <w:rPr>
          <w:rFonts w:ascii="Times New Roman" w:hAnsi="Times New Roman" w:cs="Times New Roman"/>
          <w:i/>
        </w:rPr>
        <w:t>?</w:t>
      </w:r>
    </w:p>
    <w:p w:rsidR="00FE485E" w:rsidRPr="00554CDE" w:rsidRDefault="00FE485E" w:rsidP="00554CDE">
      <w:pPr>
        <w:jc w:val="both"/>
        <w:rPr>
          <w:rFonts w:ascii="Times New Roman" w:hAnsi="Times New Roman" w:cs="Times New Roman"/>
        </w:rPr>
      </w:pPr>
    </w:p>
    <w:p w:rsidR="00A9184E" w:rsidRPr="00554CDE" w:rsidRDefault="00962A48" w:rsidP="00554CDE">
      <w:pPr>
        <w:pStyle w:val="Nagwek2"/>
      </w:pPr>
      <w:r w:rsidRPr="00554CDE">
        <w:t xml:space="preserve">II. 2. </w:t>
      </w:r>
      <w:r w:rsidR="00A9184E" w:rsidRPr="00554CDE">
        <w:t>Dozwolony użytek publiczny</w:t>
      </w:r>
    </w:p>
    <w:p w:rsidR="00FE485E" w:rsidRPr="00554CDE" w:rsidRDefault="00FE485E" w:rsidP="00554CDE">
      <w:pPr>
        <w:jc w:val="both"/>
        <w:rPr>
          <w:rFonts w:ascii="Times New Roman" w:hAnsi="Times New Roman" w:cs="Times New Roman"/>
        </w:rPr>
      </w:pPr>
      <w:r w:rsidRPr="00554CDE">
        <w:rPr>
          <w:rFonts w:ascii="Times New Roman" w:hAnsi="Times New Roman" w:cs="Times New Roman"/>
        </w:rPr>
        <w:t>W 2013 r. w ramach prac Forum Prawa Autorskiego odbyła się dyskusja na temat</w:t>
      </w:r>
      <w:r w:rsidR="00A9184E" w:rsidRPr="00554CDE">
        <w:rPr>
          <w:rFonts w:ascii="Times New Roman" w:hAnsi="Times New Roman" w:cs="Times New Roman"/>
        </w:rPr>
        <w:t xml:space="preserve"> przepisów </w:t>
      </w:r>
      <w:r w:rsidR="00692D69">
        <w:rPr>
          <w:rFonts w:ascii="Times New Roman" w:hAnsi="Times New Roman" w:cs="Times New Roman"/>
        </w:rPr>
        <w:br/>
      </w:r>
      <w:r w:rsidR="00A9184E" w:rsidRPr="00554CDE">
        <w:rPr>
          <w:rFonts w:ascii="Times New Roman" w:hAnsi="Times New Roman" w:cs="Times New Roman"/>
        </w:rPr>
        <w:t>o dozwolonym użytku publicznym w ustawie o prawie autorskim i prawach pokrewnych</w:t>
      </w:r>
      <w:r w:rsidRPr="00554CDE">
        <w:rPr>
          <w:rFonts w:ascii="Times New Roman" w:hAnsi="Times New Roman" w:cs="Times New Roman"/>
        </w:rPr>
        <w:t xml:space="preserve">. </w:t>
      </w:r>
      <w:r w:rsidR="00E36BEE" w:rsidRPr="00554CDE">
        <w:rPr>
          <w:rFonts w:ascii="Times New Roman" w:hAnsi="Times New Roman" w:cs="Times New Roman"/>
        </w:rPr>
        <w:t>Podczas</w:t>
      </w:r>
      <w:r w:rsidR="00A9184E" w:rsidRPr="00554CDE">
        <w:rPr>
          <w:rFonts w:ascii="Times New Roman" w:hAnsi="Times New Roman" w:cs="Times New Roman"/>
        </w:rPr>
        <w:t xml:space="preserve"> tej dyskusji oraz w towarzyszących jej konsultacjach społecznych podawano przykłady trudności </w:t>
      </w:r>
      <w:r w:rsidR="00692D69">
        <w:rPr>
          <w:rFonts w:ascii="Times New Roman" w:hAnsi="Times New Roman" w:cs="Times New Roman"/>
        </w:rPr>
        <w:br/>
      </w:r>
      <w:r w:rsidR="00A9184E" w:rsidRPr="00554CDE">
        <w:rPr>
          <w:rFonts w:ascii="Times New Roman" w:hAnsi="Times New Roman" w:cs="Times New Roman"/>
        </w:rPr>
        <w:t>i wątpliwości, jakie pojawiają się przy okazji ich stosowania</w:t>
      </w:r>
      <w:r w:rsidR="005630CD" w:rsidRPr="00554CDE">
        <w:rPr>
          <w:rStyle w:val="Odwoanieprzypisudolnego"/>
          <w:rFonts w:ascii="Times New Roman" w:hAnsi="Times New Roman" w:cs="Times New Roman"/>
        </w:rPr>
        <w:footnoteReference w:id="23"/>
      </w:r>
      <w:r w:rsidR="00A9184E" w:rsidRPr="00554CDE">
        <w:rPr>
          <w:rFonts w:ascii="Times New Roman" w:hAnsi="Times New Roman" w:cs="Times New Roman"/>
        </w:rPr>
        <w:t>.</w:t>
      </w:r>
    </w:p>
    <w:p w:rsidR="00A9184E" w:rsidRPr="00554CDE" w:rsidRDefault="00A9184E" w:rsidP="00554CDE">
      <w:pPr>
        <w:jc w:val="both"/>
        <w:rPr>
          <w:rFonts w:ascii="Times New Roman" w:hAnsi="Times New Roman" w:cs="Times New Roman"/>
        </w:rPr>
      </w:pPr>
      <w:r w:rsidRPr="00554CDE">
        <w:rPr>
          <w:rFonts w:ascii="Times New Roman" w:hAnsi="Times New Roman" w:cs="Times New Roman"/>
        </w:rPr>
        <w:t xml:space="preserve">Te problemy, które wynikają ze sposobu implementacji przepisów UE do polskiej ustawy, MKiDN będzie starać się rozwiązać przy okazji nowelizacji ustawy o prawie autorskim i prawach pokrewnych, której projekt zostanie opublikowany w pierwszym </w:t>
      </w:r>
      <w:r w:rsidRPr="00692D69">
        <w:rPr>
          <w:rFonts w:ascii="Times New Roman" w:hAnsi="Times New Roman" w:cs="Times New Roman"/>
        </w:rPr>
        <w:t>półroczu</w:t>
      </w:r>
      <w:r w:rsidRPr="00554CDE">
        <w:rPr>
          <w:rFonts w:ascii="Times New Roman" w:hAnsi="Times New Roman" w:cs="Times New Roman"/>
        </w:rPr>
        <w:t xml:space="preserve"> 2014 r.</w:t>
      </w:r>
    </w:p>
    <w:p w:rsidR="00A9184E" w:rsidRPr="00554CDE" w:rsidRDefault="00A9184E" w:rsidP="00554CDE">
      <w:pPr>
        <w:jc w:val="both"/>
        <w:rPr>
          <w:rFonts w:ascii="Times New Roman" w:hAnsi="Times New Roman" w:cs="Times New Roman"/>
        </w:rPr>
      </w:pPr>
      <w:r w:rsidRPr="00554CDE">
        <w:rPr>
          <w:rFonts w:ascii="Times New Roman" w:hAnsi="Times New Roman" w:cs="Times New Roman"/>
        </w:rPr>
        <w:t xml:space="preserve">Natomiast w ramach dyskusji o europejskim prawie autorskim należy przyjrzeć się </w:t>
      </w:r>
      <w:r w:rsidR="00327209" w:rsidRPr="00554CDE">
        <w:rPr>
          <w:rFonts w:ascii="Times New Roman" w:hAnsi="Times New Roman" w:cs="Times New Roman"/>
        </w:rPr>
        <w:t>sposobowi</w:t>
      </w:r>
      <w:r w:rsidRPr="00554CDE">
        <w:rPr>
          <w:rFonts w:ascii="Times New Roman" w:hAnsi="Times New Roman" w:cs="Times New Roman"/>
        </w:rPr>
        <w:t xml:space="preserve"> sformułowania przepisów o wyjątkach w dyrektywach UE, w szczególności w dyrektywie 2001/29/WE.</w:t>
      </w:r>
    </w:p>
    <w:p w:rsidR="00C82035" w:rsidRPr="00554CDE" w:rsidRDefault="00C82035" w:rsidP="00554CDE">
      <w:pPr>
        <w:jc w:val="both"/>
        <w:rPr>
          <w:rFonts w:ascii="Times New Roman" w:hAnsi="Times New Roman" w:cs="Times New Roman"/>
        </w:rPr>
      </w:pPr>
      <w:r w:rsidRPr="00554CDE">
        <w:rPr>
          <w:rFonts w:ascii="Times New Roman" w:hAnsi="Times New Roman" w:cs="Times New Roman"/>
        </w:rPr>
        <w:t xml:space="preserve">W ogłoszonych przez Komisję Europejską konsultacjach zwrócono przede wszystkim uwagę na wyjątki dotyczące bibliotek i archiwów, nauczania i badań naukowych oraz niepełnosprawności. </w:t>
      </w:r>
      <w:r w:rsidR="00947FEE" w:rsidRPr="00554CDE">
        <w:rPr>
          <w:rFonts w:ascii="Times New Roman" w:hAnsi="Times New Roman" w:cs="Times New Roman"/>
        </w:rPr>
        <w:t>Podniesiono także</w:t>
      </w:r>
      <w:r w:rsidRPr="00554CDE">
        <w:rPr>
          <w:rFonts w:ascii="Times New Roman" w:hAnsi="Times New Roman" w:cs="Times New Roman"/>
        </w:rPr>
        <w:t xml:space="preserve"> problemy związane z eksploracją tekstów i danych oraz treściami tworzo</w:t>
      </w:r>
      <w:r w:rsidR="00DB52F0" w:rsidRPr="00554CDE">
        <w:rPr>
          <w:rFonts w:ascii="Times New Roman" w:hAnsi="Times New Roman" w:cs="Times New Roman"/>
        </w:rPr>
        <w:t>nymi przez użytkowników.</w:t>
      </w:r>
      <w:r w:rsidRPr="00554CDE">
        <w:rPr>
          <w:rFonts w:ascii="Times New Roman" w:hAnsi="Times New Roman" w:cs="Times New Roman"/>
        </w:rPr>
        <w:t xml:space="preserve"> </w:t>
      </w:r>
      <w:r w:rsidR="00DB52F0" w:rsidRPr="00554CDE">
        <w:rPr>
          <w:rFonts w:ascii="Times New Roman" w:hAnsi="Times New Roman" w:cs="Times New Roman"/>
        </w:rPr>
        <w:t>Kwestie te</w:t>
      </w:r>
      <w:r w:rsidRPr="00554CDE">
        <w:rPr>
          <w:rFonts w:ascii="Times New Roman" w:hAnsi="Times New Roman" w:cs="Times New Roman"/>
        </w:rPr>
        <w:t xml:space="preserve"> nie zostały uregulowane w dyrektywie.</w:t>
      </w:r>
    </w:p>
    <w:p w:rsidR="00C82035" w:rsidRPr="00554CDE" w:rsidRDefault="00C82035" w:rsidP="00554CDE">
      <w:pPr>
        <w:jc w:val="both"/>
        <w:rPr>
          <w:rFonts w:ascii="Times New Roman" w:hAnsi="Times New Roman" w:cs="Times New Roman"/>
        </w:rPr>
      </w:pPr>
    </w:p>
    <w:p w:rsidR="00C96EEC" w:rsidRPr="00554CDE" w:rsidRDefault="005B7F81" w:rsidP="00554CDE">
      <w:pPr>
        <w:pStyle w:val="Podtytu"/>
      </w:pPr>
      <w:r w:rsidRPr="00554CDE">
        <w:t xml:space="preserve">II.2.1. </w:t>
      </w:r>
      <w:r w:rsidR="00C96EEC" w:rsidRPr="00554CDE">
        <w:t>Biblioteki i archiwa</w:t>
      </w:r>
    </w:p>
    <w:p w:rsidR="00C96EEC" w:rsidRPr="00554CDE" w:rsidRDefault="00C96EEC" w:rsidP="00554CDE">
      <w:pPr>
        <w:jc w:val="both"/>
        <w:rPr>
          <w:rFonts w:ascii="Times New Roman" w:hAnsi="Times New Roman" w:cs="Times New Roman"/>
        </w:rPr>
      </w:pPr>
      <w:r w:rsidRPr="00554CDE">
        <w:rPr>
          <w:rFonts w:ascii="Times New Roman" w:hAnsi="Times New Roman" w:cs="Times New Roman"/>
        </w:rPr>
        <w:t>Wyjątek dotyczący</w:t>
      </w:r>
      <w:r w:rsidR="005B7F81" w:rsidRPr="00554CDE">
        <w:rPr>
          <w:rFonts w:ascii="Times New Roman" w:hAnsi="Times New Roman" w:cs="Times New Roman"/>
        </w:rPr>
        <w:t xml:space="preserve"> „tradycyjnych”</w:t>
      </w:r>
      <w:r w:rsidRPr="00554CDE">
        <w:rPr>
          <w:rFonts w:ascii="Times New Roman" w:hAnsi="Times New Roman" w:cs="Times New Roman"/>
        </w:rPr>
        <w:t xml:space="preserve"> wypożyczeń bibliotecznych został wprowadzony</w:t>
      </w:r>
      <w:r w:rsidR="005B7F81" w:rsidRPr="00554CDE">
        <w:rPr>
          <w:rFonts w:ascii="Times New Roman" w:hAnsi="Times New Roman" w:cs="Times New Roman"/>
        </w:rPr>
        <w:t xml:space="preserve"> w</w:t>
      </w:r>
      <w:r w:rsidRPr="00554CDE">
        <w:rPr>
          <w:rFonts w:ascii="Times New Roman" w:hAnsi="Times New Roman" w:cs="Times New Roman"/>
        </w:rPr>
        <w:t xml:space="preserve"> art. 6 dyrektywy 2006/115/WE. Przewiduje on możliwość ustanowienia odstępstwa od wyłącznego prawa do użyczania oryginałów i powielonych egzemplarzy chronionych utworów</w:t>
      </w:r>
      <w:r w:rsidRPr="00554CDE">
        <w:rPr>
          <w:rStyle w:val="Odwoanieprzypisudolnego"/>
          <w:rFonts w:ascii="Times New Roman" w:hAnsi="Times New Roman" w:cs="Times New Roman"/>
        </w:rPr>
        <w:footnoteReference w:id="24"/>
      </w:r>
      <w:r w:rsidRPr="00554CDE">
        <w:rPr>
          <w:rFonts w:ascii="Times New Roman" w:hAnsi="Times New Roman" w:cs="Times New Roman"/>
        </w:rPr>
        <w:t>. Twórcy powinni otrzymać jednak z tego tytułu wynagrodzenie</w:t>
      </w:r>
      <w:r w:rsidRPr="00554CDE">
        <w:rPr>
          <w:rStyle w:val="Odwoanieprzypisudolnego"/>
          <w:rFonts w:ascii="Times New Roman" w:hAnsi="Times New Roman" w:cs="Times New Roman"/>
        </w:rPr>
        <w:footnoteReference w:id="25"/>
      </w:r>
      <w:r w:rsidRPr="00554CDE">
        <w:rPr>
          <w:rFonts w:ascii="Times New Roman" w:hAnsi="Times New Roman" w:cs="Times New Roman"/>
        </w:rPr>
        <w:t>.</w:t>
      </w:r>
    </w:p>
    <w:p w:rsidR="007D670B" w:rsidRPr="00554CDE" w:rsidRDefault="007D670B" w:rsidP="00554CDE">
      <w:pPr>
        <w:jc w:val="both"/>
        <w:rPr>
          <w:rFonts w:ascii="Times New Roman" w:hAnsi="Times New Roman" w:cs="Times New Roman"/>
        </w:rPr>
      </w:pPr>
      <w:r w:rsidRPr="00554CDE">
        <w:rPr>
          <w:rFonts w:ascii="Times New Roman" w:hAnsi="Times New Roman" w:cs="Times New Roman"/>
        </w:rPr>
        <w:t xml:space="preserve">Art. 5 ust. 2 lit. c) dyrektywy 2001/29/WE upoważnia ogólnodostępne biblioteki, instytucje edukacyjne i muzea, jak również archiwa, do dokonywania szczególnych czynności zwielokrotniania, </w:t>
      </w:r>
      <w:r w:rsidR="0093312F" w:rsidRPr="00554CDE">
        <w:rPr>
          <w:rFonts w:ascii="Times New Roman" w:hAnsi="Times New Roman" w:cs="Times New Roman"/>
        </w:rPr>
        <w:t>nie zmierzających do osiągania korzyści majątkowych</w:t>
      </w:r>
      <w:r w:rsidRPr="00554CDE">
        <w:rPr>
          <w:rFonts w:ascii="Times New Roman" w:hAnsi="Times New Roman" w:cs="Times New Roman"/>
        </w:rPr>
        <w:t xml:space="preserve">. </w:t>
      </w:r>
      <w:r w:rsidR="00783EF7" w:rsidRPr="00554CDE">
        <w:rPr>
          <w:rFonts w:ascii="Times New Roman" w:hAnsi="Times New Roman" w:cs="Times New Roman"/>
        </w:rPr>
        <w:t xml:space="preserve">Przepis ten </w:t>
      </w:r>
      <w:r w:rsidR="0093312F" w:rsidRPr="00554CDE">
        <w:rPr>
          <w:rFonts w:ascii="Times New Roman" w:hAnsi="Times New Roman" w:cs="Times New Roman"/>
        </w:rPr>
        <w:t>umożliwia wykonywanie kopii utworów w celu</w:t>
      </w:r>
      <w:r w:rsidR="00783EF7" w:rsidRPr="00554CDE">
        <w:rPr>
          <w:rFonts w:ascii="Times New Roman" w:hAnsi="Times New Roman" w:cs="Times New Roman"/>
        </w:rPr>
        <w:t xml:space="preserve"> zachowania i ochrony zbiorów wymienionych instytucji</w:t>
      </w:r>
      <w:r w:rsidR="0093312F" w:rsidRPr="00554CDE">
        <w:rPr>
          <w:rStyle w:val="Odwoanieprzypisudolnego"/>
          <w:rFonts w:ascii="Times New Roman" w:hAnsi="Times New Roman" w:cs="Times New Roman"/>
        </w:rPr>
        <w:footnoteReference w:id="26"/>
      </w:r>
      <w:r w:rsidR="00783EF7" w:rsidRPr="00554CDE">
        <w:rPr>
          <w:rFonts w:ascii="Times New Roman" w:hAnsi="Times New Roman" w:cs="Times New Roman"/>
        </w:rPr>
        <w:t>.</w:t>
      </w:r>
    </w:p>
    <w:p w:rsidR="0093312F" w:rsidRPr="00554CDE" w:rsidRDefault="0093312F" w:rsidP="00554CDE">
      <w:pPr>
        <w:jc w:val="both"/>
        <w:rPr>
          <w:rFonts w:ascii="Times New Roman" w:hAnsi="Times New Roman" w:cs="Times New Roman"/>
        </w:rPr>
      </w:pPr>
      <w:r w:rsidRPr="00554CDE">
        <w:rPr>
          <w:rFonts w:ascii="Times New Roman" w:hAnsi="Times New Roman" w:cs="Times New Roman"/>
        </w:rPr>
        <w:t>Natomiast zgodnie z art. 5 ust. 3 lit. n) dyrektywy 2001/29/WE instytucje te są upoważnione</w:t>
      </w:r>
      <w:r w:rsidR="00DB52F0" w:rsidRPr="00554CDE">
        <w:rPr>
          <w:rFonts w:ascii="Times New Roman" w:hAnsi="Times New Roman" w:cs="Times New Roman"/>
        </w:rPr>
        <w:t xml:space="preserve"> do udostępniania utworów indywidualnym osobom, do celów badań lub studiów, przy wykorzystaniu terminali znajdujących się w pomieszczeniach tych jednostek. Wyjątek obejmuje jednak tylko utwory „nie podlegające zasadom zakupu lub licencji”, co budzi wątpliwości interpretacyjne</w:t>
      </w:r>
      <w:r w:rsidR="005B7F81" w:rsidRPr="00554CDE">
        <w:rPr>
          <w:rStyle w:val="Odwoanieprzypisudolnego"/>
          <w:rFonts w:ascii="Times New Roman" w:hAnsi="Times New Roman" w:cs="Times New Roman"/>
        </w:rPr>
        <w:footnoteReference w:id="27"/>
      </w:r>
      <w:r w:rsidR="00DB52F0" w:rsidRPr="00554CDE">
        <w:rPr>
          <w:rFonts w:ascii="Times New Roman" w:hAnsi="Times New Roman" w:cs="Times New Roman"/>
        </w:rPr>
        <w:t>.</w:t>
      </w:r>
      <w:r w:rsidR="00C96EEC" w:rsidRPr="00554CDE">
        <w:rPr>
          <w:rFonts w:ascii="Times New Roman" w:hAnsi="Times New Roman" w:cs="Times New Roman"/>
        </w:rPr>
        <w:t xml:space="preserve"> Ponadto nie upoważnia on do udostępniania utworów przez </w:t>
      </w:r>
      <w:proofErr w:type="spellStart"/>
      <w:r w:rsidR="00C96EEC" w:rsidRPr="00554CDE">
        <w:rPr>
          <w:rFonts w:ascii="Times New Roman" w:hAnsi="Times New Roman" w:cs="Times New Roman"/>
        </w:rPr>
        <w:t>internet</w:t>
      </w:r>
      <w:proofErr w:type="spellEnd"/>
      <w:r w:rsidR="00C96EEC" w:rsidRPr="00554CDE">
        <w:rPr>
          <w:rFonts w:ascii="Times New Roman" w:hAnsi="Times New Roman" w:cs="Times New Roman"/>
        </w:rPr>
        <w:t xml:space="preserve">, co wprost </w:t>
      </w:r>
      <w:r w:rsidR="005B7F81" w:rsidRPr="00554CDE">
        <w:rPr>
          <w:rFonts w:ascii="Times New Roman" w:hAnsi="Times New Roman" w:cs="Times New Roman"/>
        </w:rPr>
        <w:t>potwierdzono w treści</w:t>
      </w:r>
      <w:r w:rsidR="00C96EEC" w:rsidRPr="00554CDE">
        <w:rPr>
          <w:rFonts w:ascii="Times New Roman" w:hAnsi="Times New Roman" w:cs="Times New Roman"/>
        </w:rPr>
        <w:t xml:space="preserve"> motywu 40 preambuły dyrektywy.</w:t>
      </w:r>
    </w:p>
    <w:p w:rsidR="005630CD" w:rsidRPr="00554CDE" w:rsidRDefault="005630CD"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W jaki sposób powinny zostać sformułowane przepisy UE dotyczące korzystania z utworów </w:t>
      </w:r>
      <w:r w:rsidR="00BF70FF">
        <w:rPr>
          <w:rFonts w:ascii="Times New Roman" w:hAnsi="Times New Roman" w:cs="Times New Roman"/>
          <w:i/>
        </w:rPr>
        <w:br/>
      </w:r>
      <w:r w:rsidRPr="00554CDE">
        <w:rPr>
          <w:rFonts w:ascii="Times New Roman" w:hAnsi="Times New Roman" w:cs="Times New Roman"/>
          <w:i/>
        </w:rPr>
        <w:t>i przedmiotów praw pokrewnych przez biblioteki i archiwa, w szczególności:</w:t>
      </w:r>
    </w:p>
    <w:p w:rsidR="00962A48" w:rsidRPr="00554CDE" w:rsidRDefault="005630CD" w:rsidP="00554CDE">
      <w:pPr>
        <w:pStyle w:val="Akapitzlist"/>
        <w:numPr>
          <w:ilvl w:val="1"/>
          <w:numId w:val="2"/>
        </w:numPr>
        <w:jc w:val="both"/>
        <w:rPr>
          <w:rFonts w:ascii="Times New Roman" w:hAnsi="Times New Roman" w:cs="Times New Roman"/>
          <w:i/>
        </w:rPr>
      </w:pPr>
      <w:r w:rsidRPr="00554CDE">
        <w:rPr>
          <w:rFonts w:ascii="Times New Roman" w:hAnsi="Times New Roman" w:cs="Times New Roman"/>
          <w:i/>
        </w:rPr>
        <w:t>w zakresie ochrony</w:t>
      </w:r>
      <w:r w:rsidR="007559F8" w:rsidRPr="00554CDE">
        <w:rPr>
          <w:rFonts w:ascii="Times New Roman" w:hAnsi="Times New Roman" w:cs="Times New Roman"/>
          <w:i/>
        </w:rPr>
        <w:t xml:space="preserve"> własnych</w:t>
      </w:r>
      <w:r w:rsidRPr="00554CDE">
        <w:rPr>
          <w:rFonts w:ascii="Times New Roman" w:hAnsi="Times New Roman" w:cs="Times New Roman"/>
          <w:i/>
        </w:rPr>
        <w:t xml:space="preserve"> zbiorów tych instytucji</w:t>
      </w:r>
      <w:r w:rsidR="007559F8" w:rsidRPr="00554CDE">
        <w:rPr>
          <w:rFonts w:ascii="Times New Roman" w:hAnsi="Times New Roman" w:cs="Times New Roman"/>
          <w:i/>
        </w:rPr>
        <w:t>, w tym ich digitalizacji;</w:t>
      </w:r>
    </w:p>
    <w:p w:rsidR="007559F8" w:rsidRPr="00554CDE" w:rsidRDefault="007559F8" w:rsidP="00554CDE">
      <w:pPr>
        <w:pStyle w:val="Akapitzlist"/>
        <w:numPr>
          <w:ilvl w:val="1"/>
          <w:numId w:val="2"/>
        </w:numPr>
        <w:jc w:val="both"/>
        <w:rPr>
          <w:rFonts w:ascii="Times New Roman" w:hAnsi="Times New Roman" w:cs="Times New Roman"/>
          <w:i/>
        </w:rPr>
      </w:pPr>
      <w:r w:rsidRPr="00554CDE">
        <w:rPr>
          <w:rFonts w:ascii="Times New Roman" w:hAnsi="Times New Roman" w:cs="Times New Roman"/>
          <w:i/>
        </w:rPr>
        <w:t xml:space="preserve">dostępu </w:t>
      </w:r>
      <w:proofErr w:type="spellStart"/>
      <w:r w:rsidRPr="00554CDE">
        <w:rPr>
          <w:rFonts w:ascii="Times New Roman" w:hAnsi="Times New Roman" w:cs="Times New Roman"/>
          <w:i/>
        </w:rPr>
        <w:t>on-line</w:t>
      </w:r>
      <w:proofErr w:type="spellEnd"/>
      <w:r w:rsidRPr="00554CDE">
        <w:rPr>
          <w:rFonts w:ascii="Times New Roman" w:hAnsi="Times New Roman" w:cs="Times New Roman"/>
          <w:i/>
        </w:rPr>
        <w:t xml:space="preserve"> do tych zbiorów oraz wypożyczania utworów w postaci cyfrowej</w:t>
      </w:r>
      <w:r w:rsidR="003623E3" w:rsidRPr="00554CDE">
        <w:rPr>
          <w:rFonts w:ascii="Times New Roman" w:hAnsi="Times New Roman" w:cs="Times New Roman"/>
          <w:i/>
        </w:rPr>
        <w:t xml:space="preserve">, </w:t>
      </w:r>
      <w:r w:rsidR="00BF70FF">
        <w:rPr>
          <w:rFonts w:ascii="Times New Roman" w:hAnsi="Times New Roman" w:cs="Times New Roman"/>
          <w:i/>
        </w:rPr>
        <w:br/>
      </w:r>
      <w:r w:rsidR="003623E3" w:rsidRPr="00554CDE">
        <w:rPr>
          <w:rFonts w:ascii="Times New Roman" w:hAnsi="Times New Roman" w:cs="Times New Roman"/>
          <w:i/>
        </w:rPr>
        <w:t>w tym udostępnianych przez biblioteki mające siedzibę w innym państwie członkowskim</w:t>
      </w:r>
      <w:r w:rsidRPr="00554CDE">
        <w:rPr>
          <w:rFonts w:ascii="Times New Roman" w:hAnsi="Times New Roman" w:cs="Times New Roman"/>
          <w:i/>
        </w:rPr>
        <w:t>?</w:t>
      </w:r>
    </w:p>
    <w:p w:rsidR="007559F8" w:rsidRPr="00554CDE" w:rsidRDefault="00B04A47" w:rsidP="00554CDE">
      <w:pPr>
        <w:pStyle w:val="Akapitzlist"/>
        <w:jc w:val="both"/>
        <w:rPr>
          <w:rFonts w:ascii="Times New Roman" w:hAnsi="Times New Roman" w:cs="Times New Roman"/>
          <w:i/>
        </w:rPr>
      </w:pPr>
      <w:r w:rsidRPr="00554CDE">
        <w:rPr>
          <w:rFonts w:ascii="Times New Roman" w:hAnsi="Times New Roman" w:cs="Times New Roman"/>
          <w:i/>
        </w:rPr>
        <w:t>W jakich przypadkach powinno</w:t>
      </w:r>
      <w:r w:rsidR="007559F8" w:rsidRPr="00554CDE">
        <w:rPr>
          <w:rFonts w:ascii="Times New Roman" w:hAnsi="Times New Roman" w:cs="Times New Roman"/>
          <w:i/>
        </w:rPr>
        <w:t xml:space="preserve"> odbywać się to w oparciu o przepisy o dozwolonym użytku, </w:t>
      </w:r>
      <w:r w:rsidR="00BF70FF">
        <w:rPr>
          <w:rFonts w:ascii="Times New Roman" w:hAnsi="Times New Roman" w:cs="Times New Roman"/>
          <w:i/>
        </w:rPr>
        <w:br/>
      </w:r>
      <w:r w:rsidRPr="00554CDE">
        <w:rPr>
          <w:rFonts w:ascii="Times New Roman" w:hAnsi="Times New Roman" w:cs="Times New Roman"/>
          <w:i/>
        </w:rPr>
        <w:t>a w jakich z wykorzystaniem mechanizmów licencyjnych</w:t>
      </w:r>
      <w:r w:rsidR="007559F8" w:rsidRPr="00554CDE">
        <w:rPr>
          <w:rFonts w:ascii="Times New Roman" w:hAnsi="Times New Roman" w:cs="Times New Roman"/>
          <w:i/>
        </w:rPr>
        <w:t>?</w:t>
      </w:r>
    </w:p>
    <w:p w:rsidR="00C96EEC" w:rsidRPr="00554CDE" w:rsidRDefault="00C96EEC" w:rsidP="00554CDE">
      <w:pPr>
        <w:pStyle w:val="Akapitzlist"/>
        <w:jc w:val="both"/>
        <w:rPr>
          <w:rFonts w:ascii="Times New Roman" w:hAnsi="Times New Roman" w:cs="Times New Roman"/>
        </w:rPr>
      </w:pPr>
    </w:p>
    <w:p w:rsidR="00C96EEC" w:rsidRPr="00554CDE" w:rsidRDefault="005B7F81" w:rsidP="00554CDE">
      <w:pPr>
        <w:pStyle w:val="Podtytu"/>
      </w:pPr>
      <w:r w:rsidRPr="00554CDE">
        <w:t xml:space="preserve">II.2.2. </w:t>
      </w:r>
      <w:r w:rsidR="003623E3" w:rsidRPr="00554CDE">
        <w:t>Użytek edukacyjny i naukowy</w:t>
      </w:r>
    </w:p>
    <w:p w:rsidR="00C96EEC" w:rsidRPr="00554CDE" w:rsidRDefault="00B04A47" w:rsidP="00554CDE">
      <w:pPr>
        <w:jc w:val="both"/>
        <w:rPr>
          <w:rFonts w:ascii="Times New Roman" w:hAnsi="Times New Roman" w:cs="Times New Roman"/>
        </w:rPr>
      </w:pPr>
      <w:r w:rsidRPr="00554CDE">
        <w:rPr>
          <w:rFonts w:ascii="Times New Roman" w:hAnsi="Times New Roman" w:cs="Times New Roman"/>
        </w:rPr>
        <w:t>Art. 5 ust. 3 lit. a) dyrektywy 2001/29/WE dopuszcza korzystanie z chronionych utworów w ramach nauczania lub badań naukowych, w zakresie uzasadnionym przez niekomercyjny cel, który ma zostać osiągnięty oraz pod warunkiem podania źródła, w tym nazwiska twórcy, chyba że nie jest to możliwe</w:t>
      </w:r>
      <w:r w:rsidRPr="00554CDE">
        <w:rPr>
          <w:rStyle w:val="Odwoanieprzypisudolnego"/>
          <w:rFonts w:ascii="Times New Roman" w:hAnsi="Times New Roman" w:cs="Times New Roman"/>
        </w:rPr>
        <w:footnoteReference w:id="28"/>
      </w:r>
      <w:r w:rsidRPr="00554CDE">
        <w:rPr>
          <w:rFonts w:ascii="Times New Roman" w:hAnsi="Times New Roman" w:cs="Times New Roman"/>
        </w:rPr>
        <w:t>.</w:t>
      </w:r>
      <w:r w:rsidR="005B7F81" w:rsidRPr="00554CDE">
        <w:rPr>
          <w:rFonts w:ascii="Times New Roman" w:hAnsi="Times New Roman" w:cs="Times New Roman"/>
        </w:rPr>
        <w:t xml:space="preserve"> Podstawowe problemy dostrzeżone w tym zakresie przez Komisję Europejską dotyczą niejednolitej interpretacji tego wyjątku w państwach członkowskich.</w:t>
      </w:r>
    </w:p>
    <w:p w:rsidR="007559F8" w:rsidRPr="00554CDE" w:rsidRDefault="00150556"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W jaki sposób powinny zostać sformułowane przepisy UE dotyczące korzystania z utworów </w:t>
      </w:r>
      <w:r w:rsidR="00BF70FF">
        <w:rPr>
          <w:rFonts w:ascii="Times New Roman" w:hAnsi="Times New Roman" w:cs="Times New Roman"/>
          <w:i/>
        </w:rPr>
        <w:br/>
      </w:r>
      <w:r w:rsidRPr="00554CDE">
        <w:rPr>
          <w:rFonts w:ascii="Times New Roman" w:hAnsi="Times New Roman" w:cs="Times New Roman"/>
          <w:i/>
        </w:rPr>
        <w:t xml:space="preserve">i przedmiotów praw pokrewnych w </w:t>
      </w:r>
      <w:r w:rsidR="00B04A47" w:rsidRPr="00554CDE">
        <w:rPr>
          <w:rFonts w:ascii="Times New Roman" w:hAnsi="Times New Roman" w:cs="Times New Roman"/>
          <w:i/>
        </w:rPr>
        <w:t>celu edukacyjnym lub naukowym? W jakich przypadkach powinno odbywać się to w oparciu o przepisy o dozwolonym użytku, a w jakich z wykorzystaniem mechanizmów licencyjnych?</w:t>
      </w:r>
    </w:p>
    <w:p w:rsidR="000D7143" w:rsidRPr="00554CDE" w:rsidRDefault="000D7143" w:rsidP="00554CDE">
      <w:pPr>
        <w:jc w:val="both"/>
        <w:rPr>
          <w:rFonts w:ascii="Times New Roman" w:hAnsi="Times New Roman" w:cs="Times New Roman"/>
        </w:rPr>
      </w:pPr>
    </w:p>
    <w:p w:rsidR="000D7143" w:rsidRPr="00554CDE" w:rsidRDefault="005B7F81" w:rsidP="00554CDE">
      <w:pPr>
        <w:pStyle w:val="Podtytu"/>
      </w:pPr>
      <w:r w:rsidRPr="00554CDE">
        <w:t xml:space="preserve">II.2.3. </w:t>
      </w:r>
      <w:r w:rsidR="000D7143" w:rsidRPr="00554CDE">
        <w:t>Korzystanie dla dobra osób niepełnosprawnych</w:t>
      </w:r>
    </w:p>
    <w:p w:rsidR="000D7143" w:rsidRPr="00554CDE" w:rsidRDefault="000D7143" w:rsidP="00554CDE">
      <w:pPr>
        <w:jc w:val="both"/>
        <w:rPr>
          <w:rFonts w:ascii="Times New Roman" w:hAnsi="Times New Roman" w:cs="Times New Roman"/>
        </w:rPr>
      </w:pPr>
      <w:r w:rsidRPr="00554CDE">
        <w:rPr>
          <w:rFonts w:ascii="Times New Roman" w:hAnsi="Times New Roman" w:cs="Times New Roman"/>
        </w:rPr>
        <w:t xml:space="preserve">Art. 5 ust. 3 lit. b) dyrektywy 2001/29/WE upoważnia do korzystania w celu niekomercyjnym </w:t>
      </w:r>
      <w:r w:rsidR="00BF70FF">
        <w:rPr>
          <w:rFonts w:ascii="Times New Roman" w:hAnsi="Times New Roman" w:cs="Times New Roman"/>
        </w:rPr>
        <w:br/>
      </w:r>
      <w:r w:rsidRPr="00554CDE">
        <w:rPr>
          <w:rFonts w:ascii="Times New Roman" w:hAnsi="Times New Roman" w:cs="Times New Roman"/>
        </w:rPr>
        <w:t>z chronionych utworów dla dobra osób niepełnosprawnych, przy czym sposób korzystania i jego zakres muszą być powiązane z danym upośledzeniem</w:t>
      </w:r>
      <w:r w:rsidR="00BB4507" w:rsidRPr="00554CDE">
        <w:rPr>
          <w:rStyle w:val="Odwoanieprzypisudolnego"/>
          <w:rFonts w:ascii="Times New Roman" w:hAnsi="Times New Roman" w:cs="Times New Roman"/>
        </w:rPr>
        <w:footnoteReference w:id="29"/>
      </w:r>
      <w:r w:rsidRPr="00554CDE">
        <w:rPr>
          <w:rFonts w:ascii="Times New Roman" w:hAnsi="Times New Roman" w:cs="Times New Roman"/>
        </w:rPr>
        <w:t>.</w:t>
      </w:r>
    </w:p>
    <w:p w:rsidR="00BB4507" w:rsidRPr="00554CDE" w:rsidRDefault="00BB4507" w:rsidP="00554CDE">
      <w:pPr>
        <w:jc w:val="both"/>
        <w:rPr>
          <w:rFonts w:ascii="Times New Roman" w:hAnsi="Times New Roman" w:cs="Times New Roman"/>
        </w:rPr>
      </w:pPr>
      <w:r w:rsidRPr="00554CDE">
        <w:rPr>
          <w:rFonts w:ascii="Times New Roman" w:hAnsi="Times New Roman" w:cs="Times New Roman"/>
        </w:rPr>
        <w:t xml:space="preserve">Warto w tym miejscu wspomnieć, że w dniu 28 czerwca 2013 r. w Marrakeszu został przyjęty Traktat WIPO w sprawie ułatwienia dostępu do opublikowanych utworów osobom niewidomym </w:t>
      </w:r>
      <w:r w:rsidR="00BF70FF">
        <w:rPr>
          <w:rFonts w:ascii="Times New Roman" w:hAnsi="Times New Roman" w:cs="Times New Roman"/>
        </w:rPr>
        <w:br/>
      </w:r>
      <w:r w:rsidRPr="00554CDE">
        <w:rPr>
          <w:rFonts w:ascii="Times New Roman" w:hAnsi="Times New Roman" w:cs="Times New Roman"/>
        </w:rPr>
        <w:t xml:space="preserve">i niedowidzącym oraz osobom z </w:t>
      </w:r>
      <w:proofErr w:type="spellStart"/>
      <w:r w:rsidRPr="00554CDE">
        <w:rPr>
          <w:rFonts w:ascii="Times New Roman" w:hAnsi="Times New Roman" w:cs="Times New Roman"/>
        </w:rPr>
        <w:t>niepełnosprawnościami</w:t>
      </w:r>
      <w:proofErr w:type="spellEnd"/>
      <w:r w:rsidRPr="00554CDE">
        <w:rPr>
          <w:rFonts w:ascii="Times New Roman" w:hAnsi="Times New Roman" w:cs="Times New Roman"/>
        </w:rPr>
        <w:t xml:space="preserve"> uniemożliwiającymi im zapoznawanie się z drukiem. Traktat umożliwi dystrybuowanie i publiczne udostępnianie kopii utworów w formatach dostosowanych do potrzeb osób niewidomych i niedowidzących, zarówno w kraju jak i za granicą. W najbliższym czasie planowane jest podpisanie tego traktatu przez UE i państwa członkowskie, </w:t>
      </w:r>
      <w:r w:rsidR="00BF70FF">
        <w:rPr>
          <w:rFonts w:ascii="Times New Roman" w:hAnsi="Times New Roman" w:cs="Times New Roman"/>
        </w:rPr>
        <w:br/>
      </w:r>
      <w:r w:rsidRPr="00554CDE">
        <w:rPr>
          <w:rFonts w:ascii="Times New Roman" w:hAnsi="Times New Roman" w:cs="Times New Roman"/>
        </w:rPr>
        <w:t>a następnie jego ratyfikacja. Wdrożenie traktatu może wymagać zmiany prawa UE</w:t>
      </w:r>
      <w:r w:rsidR="005B7F81" w:rsidRPr="00554CDE">
        <w:rPr>
          <w:rFonts w:ascii="Times New Roman" w:hAnsi="Times New Roman" w:cs="Times New Roman"/>
        </w:rPr>
        <w:t xml:space="preserve">, przede wszystkim w aspekcie </w:t>
      </w:r>
      <w:proofErr w:type="spellStart"/>
      <w:r w:rsidR="005B7F81" w:rsidRPr="00554CDE">
        <w:rPr>
          <w:rFonts w:ascii="Times New Roman" w:hAnsi="Times New Roman" w:cs="Times New Roman"/>
        </w:rPr>
        <w:t>ponadgranicznego</w:t>
      </w:r>
      <w:proofErr w:type="spellEnd"/>
      <w:r w:rsidR="005B7F81" w:rsidRPr="00554CDE">
        <w:rPr>
          <w:rFonts w:ascii="Times New Roman" w:hAnsi="Times New Roman" w:cs="Times New Roman"/>
        </w:rPr>
        <w:t xml:space="preserve"> korzystania ze wspomnianego wyjątku</w:t>
      </w:r>
      <w:r w:rsidR="008C5A0F" w:rsidRPr="00554CDE">
        <w:rPr>
          <w:rFonts w:ascii="Times New Roman" w:hAnsi="Times New Roman" w:cs="Times New Roman"/>
        </w:rPr>
        <w:t>.</w:t>
      </w:r>
    </w:p>
    <w:p w:rsidR="008C5A0F" w:rsidRDefault="008C5A0F"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W jaki sposób powinny zostać sformułowane przepisy UE dotyczące korzystania z utworów na potrzeby osób niepełnosprawnych? W jakich przypadkach powinno odbywać się to w oparciu o przepisy o dozwolonym użytku, a w jakich z wykorzystaniem mechanizmów licencyjnych?</w:t>
      </w:r>
    </w:p>
    <w:p w:rsidR="008C5A0F" w:rsidRPr="00554CDE" w:rsidRDefault="008C5A0F" w:rsidP="00554CDE">
      <w:pPr>
        <w:jc w:val="both"/>
        <w:rPr>
          <w:rFonts w:ascii="Times New Roman" w:hAnsi="Times New Roman" w:cs="Times New Roman"/>
          <w:i/>
        </w:rPr>
      </w:pPr>
    </w:p>
    <w:p w:rsidR="008C5A0F" w:rsidRPr="00554CDE" w:rsidRDefault="005B7F81" w:rsidP="00554CDE">
      <w:pPr>
        <w:pStyle w:val="Podtytu"/>
      </w:pPr>
      <w:r w:rsidRPr="00554CDE">
        <w:t xml:space="preserve">II.2.4. </w:t>
      </w:r>
      <w:r w:rsidR="008C5A0F" w:rsidRPr="00554CDE">
        <w:t>Eksploracja tekstów i danych</w:t>
      </w:r>
    </w:p>
    <w:p w:rsidR="008C5A0F" w:rsidRPr="00554CDE" w:rsidRDefault="008C5A0F" w:rsidP="00554CDE">
      <w:pPr>
        <w:jc w:val="both"/>
        <w:rPr>
          <w:rFonts w:ascii="Times New Roman" w:hAnsi="Times New Roman" w:cs="Times New Roman"/>
        </w:rPr>
      </w:pPr>
      <w:r w:rsidRPr="00554CDE">
        <w:rPr>
          <w:rFonts w:ascii="Times New Roman" w:hAnsi="Times New Roman" w:cs="Times New Roman"/>
        </w:rPr>
        <w:t>Terminem „eksploracja tekstów i danych” (</w:t>
      </w:r>
      <w:proofErr w:type="spellStart"/>
      <w:r w:rsidRPr="00554CDE">
        <w:rPr>
          <w:rFonts w:ascii="Times New Roman" w:hAnsi="Times New Roman" w:cs="Times New Roman"/>
          <w:i/>
        </w:rPr>
        <w:t>text</w:t>
      </w:r>
      <w:proofErr w:type="spellEnd"/>
      <w:r w:rsidRPr="00554CDE">
        <w:rPr>
          <w:rFonts w:ascii="Times New Roman" w:hAnsi="Times New Roman" w:cs="Times New Roman"/>
          <w:i/>
        </w:rPr>
        <w:t xml:space="preserve"> and data mining</w:t>
      </w:r>
      <w:r w:rsidRPr="00554CDE">
        <w:rPr>
          <w:rFonts w:ascii="Times New Roman" w:hAnsi="Times New Roman" w:cs="Times New Roman"/>
        </w:rPr>
        <w:t>) Komisja Europejska określa techniki</w:t>
      </w:r>
      <w:r w:rsidR="00C0489F" w:rsidRPr="00554CDE">
        <w:rPr>
          <w:rFonts w:ascii="Times New Roman" w:hAnsi="Times New Roman" w:cs="Times New Roman"/>
        </w:rPr>
        <w:t xml:space="preserve"> automatycznego</w:t>
      </w:r>
      <w:r w:rsidRPr="00554CDE">
        <w:rPr>
          <w:rFonts w:ascii="Times New Roman" w:hAnsi="Times New Roman" w:cs="Times New Roman"/>
        </w:rPr>
        <w:t xml:space="preserve"> przeszukiwania i analizy dużych ilości danych (np. czasopism, stron internetowych, baz danych), w szczególności na potrzeby badań naukowych.</w:t>
      </w:r>
      <w:r w:rsidR="00844993" w:rsidRPr="00554CDE">
        <w:rPr>
          <w:rFonts w:ascii="Times New Roman" w:hAnsi="Times New Roman" w:cs="Times New Roman"/>
        </w:rPr>
        <w:t xml:space="preserve"> Ponieważ do tego celu konieczne jest zwielokrotnienie analizowanych danych w pamięci komputera, działanie takie może być uznawane za wkroczenie w monopol </w:t>
      </w:r>
      <w:proofErr w:type="spellStart"/>
      <w:r w:rsidR="00844993" w:rsidRPr="00554CDE">
        <w:rPr>
          <w:rFonts w:ascii="Times New Roman" w:hAnsi="Times New Roman" w:cs="Times New Roman"/>
        </w:rPr>
        <w:t>prawnoautorski</w:t>
      </w:r>
      <w:proofErr w:type="spellEnd"/>
      <w:r w:rsidR="00844993" w:rsidRPr="00554CDE">
        <w:rPr>
          <w:rFonts w:ascii="Times New Roman" w:hAnsi="Times New Roman" w:cs="Times New Roman"/>
        </w:rPr>
        <w:t>. Nie jest jednak jasne, czy mieści się ono w granicach dozwolonego użytku określonego przepisami dyrektywy 2001/29/WE</w:t>
      </w:r>
      <w:r w:rsidR="00286ED2">
        <w:rPr>
          <w:rFonts w:ascii="Times New Roman" w:hAnsi="Times New Roman" w:cs="Times New Roman"/>
        </w:rPr>
        <w:t xml:space="preserve"> oraz regulacji dotyczących baz danych</w:t>
      </w:r>
      <w:r w:rsidR="00844993" w:rsidRPr="00554CDE">
        <w:rPr>
          <w:rFonts w:ascii="Times New Roman" w:hAnsi="Times New Roman" w:cs="Times New Roman"/>
        </w:rPr>
        <w:t>.</w:t>
      </w:r>
    </w:p>
    <w:p w:rsidR="00844993" w:rsidRPr="00554CDE" w:rsidRDefault="00844993" w:rsidP="00554CDE">
      <w:pPr>
        <w:jc w:val="both"/>
        <w:rPr>
          <w:rFonts w:ascii="Times New Roman" w:hAnsi="Times New Roman" w:cs="Times New Roman"/>
        </w:rPr>
      </w:pPr>
      <w:r w:rsidRPr="00554CDE">
        <w:rPr>
          <w:rFonts w:ascii="Times New Roman" w:hAnsi="Times New Roman" w:cs="Times New Roman"/>
        </w:rPr>
        <w:t>Eksploracja tekstów i danych była przedmiotem prac jednej z grup roboczych w ramach prowadzonego przez Komisję Europejską dialogu „Licencje dla Europy”</w:t>
      </w:r>
      <w:r w:rsidR="00182B4E" w:rsidRPr="00554CDE">
        <w:rPr>
          <w:rStyle w:val="Odwoanieprzypisudolnego"/>
          <w:rFonts w:ascii="Times New Roman" w:hAnsi="Times New Roman" w:cs="Times New Roman"/>
        </w:rPr>
        <w:footnoteReference w:id="30"/>
      </w:r>
      <w:r w:rsidRPr="00554CDE">
        <w:rPr>
          <w:rFonts w:ascii="Times New Roman" w:hAnsi="Times New Roman" w:cs="Times New Roman"/>
        </w:rPr>
        <w:t>. Jej uczestnicy nie osiągnęli jednak porozumienia.</w:t>
      </w:r>
    </w:p>
    <w:p w:rsidR="00A1759E" w:rsidRPr="00554CDE" w:rsidRDefault="00A1759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Jakie działania powinna podjąć Unia Europejska w odniesieniu do problematyki eksploracji tekstów i danych?</w:t>
      </w:r>
    </w:p>
    <w:p w:rsidR="00A1759E" w:rsidRPr="00554CDE" w:rsidRDefault="00A1759E" w:rsidP="00554CDE">
      <w:pPr>
        <w:jc w:val="both"/>
        <w:rPr>
          <w:rFonts w:ascii="Times New Roman" w:hAnsi="Times New Roman" w:cs="Times New Roman"/>
          <w:i/>
        </w:rPr>
      </w:pPr>
    </w:p>
    <w:p w:rsidR="00AE7D90" w:rsidRPr="00554CDE" w:rsidRDefault="005B7F81" w:rsidP="00554CDE">
      <w:pPr>
        <w:pStyle w:val="Podtytu"/>
      </w:pPr>
      <w:r w:rsidRPr="00554CDE">
        <w:t xml:space="preserve">II.2.5. </w:t>
      </w:r>
      <w:r w:rsidR="00AE7D90" w:rsidRPr="00554CDE">
        <w:t>Treści tworzone przez użytkowników</w:t>
      </w:r>
    </w:p>
    <w:p w:rsidR="00AE7D90" w:rsidRPr="00554CDE" w:rsidRDefault="00AE7D90" w:rsidP="00554CDE">
      <w:pPr>
        <w:jc w:val="both"/>
        <w:rPr>
          <w:rFonts w:ascii="Times New Roman" w:hAnsi="Times New Roman" w:cs="Times New Roman"/>
        </w:rPr>
      </w:pPr>
      <w:r w:rsidRPr="00554CDE">
        <w:rPr>
          <w:rFonts w:ascii="Times New Roman" w:hAnsi="Times New Roman" w:cs="Times New Roman"/>
        </w:rPr>
        <w:t>Konieczność analizy zjawiska treści tworzonych przez użytkowników (</w:t>
      </w:r>
      <w:proofErr w:type="spellStart"/>
      <w:r w:rsidRPr="00554CDE">
        <w:rPr>
          <w:rFonts w:ascii="Times New Roman" w:hAnsi="Times New Roman" w:cs="Times New Roman"/>
          <w:i/>
        </w:rPr>
        <w:t>user-generated</w:t>
      </w:r>
      <w:proofErr w:type="spellEnd"/>
      <w:r w:rsidRPr="00554CDE">
        <w:rPr>
          <w:rFonts w:ascii="Times New Roman" w:hAnsi="Times New Roman" w:cs="Times New Roman"/>
          <w:i/>
        </w:rPr>
        <w:t xml:space="preserve"> </w:t>
      </w:r>
      <w:proofErr w:type="spellStart"/>
      <w:r w:rsidRPr="00554CDE">
        <w:rPr>
          <w:rFonts w:ascii="Times New Roman" w:hAnsi="Times New Roman" w:cs="Times New Roman"/>
          <w:i/>
        </w:rPr>
        <w:t>content</w:t>
      </w:r>
      <w:proofErr w:type="spellEnd"/>
      <w:r w:rsidRPr="00554CDE">
        <w:rPr>
          <w:rFonts w:ascii="Times New Roman" w:hAnsi="Times New Roman" w:cs="Times New Roman"/>
        </w:rPr>
        <w:t xml:space="preserve">) wynika z szybkiego rozwoju portali i innych mediów </w:t>
      </w:r>
      <w:proofErr w:type="spellStart"/>
      <w:r w:rsidRPr="00554CDE">
        <w:rPr>
          <w:rFonts w:ascii="Times New Roman" w:hAnsi="Times New Roman" w:cs="Times New Roman"/>
        </w:rPr>
        <w:t>społecznościowych</w:t>
      </w:r>
      <w:proofErr w:type="spellEnd"/>
      <w:r w:rsidRPr="00554CDE">
        <w:rPr>
          <w:rFonts w:ascii="Times New Roman" w:hAnsi="Times New Roman" w:cs="Times New Roman"/>
        </w:rPr>
        <w:t>. Oprócz oryginalnych treści tworzonych przez użytkowników tych serwisów, często wykorzystują oni w ramach własnej aktywności internetowej treści chronione prawami osób trzecich</w:t>
      </w:r>
      <w:r w:rsidR="00A11FEF" w:rsidRPr="00554CDE">
        <w:rPr>
          <w:rFonts w:ascii="Times New Roman" w:hAnsi="Times New Roman" w:cs="Times New Roman"/>
        </w:rPr>
        <w:t>, nierzadko tworząc w ten sposób nowe utwory</w:t>
      </w:r>
      <w:r w:rsidRPr="00554CDE">
        <w:rPr>
          <w:rFonts w:ascii="Times New Roman" w:hAnsi="Times New Roman" w:cs="Times New Roman"/>
        </w:rPr>
        <w:t>.</w:t>
      </w:r>
      <w:r w:rsidR="00182B4E" w:rsidRPr="00554CDE">
        <w:rPr>
          <w:rFonts w:ascii="Times New Roman" w:hAnsi="Times New Roman" w:cs="Times New Roman"/>
        </w:rPr>
        <w:t xml:space="preserve"> Masowa skala tego wykorzystania nie pozostaje bez znaczenia dla uprawnionych.</w:t>
      </w:r>
      <w:r w:rsidR="00A27A40" w:rsidRPr="00554CDE">
        <w:rPr>
          <w:rFonts w:ascii="Times New Roman" w:hAnsi="Times New Roman" w:cs="Times New Roman"/>
        </w:rPr>
        <w:t xml:space="preserve"> Zjawisko to jest często przedstawiane jako przejaw swobody wypowiedzi użytkowników </w:t>
      </w:r>
      <w:proofErr w:type="spellStart"/>
      <w:r w:rsidR="00286ED2">
        <w:rPr>
          <w:rFonts w:ascii="Times New Roman" w:hAnsi="Times New Roman" w:cs="Times New Roman"/>
        </w:rPr>
        <w:t>internetu</w:t>
      </w:r>
      <w:proofErr w:type="spellEnd"/>
      <w:r w:rsidR="00286ED2">
        <w:rPr>
          <w:rFonts w:ascii="Times New Roman" w:hAnsi="Times New Roman" w:cs="Times New Roman"/>
        </w:rPr>
        <w:t>.</w:t>
      </w:r>
      <w:r w:rsidR="00A27A40" w:rsidRPr="00554CDE">
        <w:rPr>
          <w:rFonts w:ascii="Times New Roman" w:hAnsi="Times New Roman" w:cs="Times New Roman"/>
        </w:rPr>
        <w:t xml:space="preserve"> </w:t>
      </w:r>
      <w:r w:rsidR="00286ED2">
        <w:rPr>
          <w:rFonts w:ascii="Times New Roman" w:hAnsi="Times New Roman" w:cs="Times New Roman"/>
        </w:rPr>
        <w:t>N</w:t>
      </w:r>
      <w:r w:rsidR="00A27A40" w:rsidRPr="00554CDE">
        <w:rPr>
          <w:rFonts w:ascii="Times New Roman" w:hAnsi="Times New Roman" w:cs="Times New Roman"/>
        </w:rPr>
        <w:t xml:space="preserve">ie można jednak zapominać, że właściciele serwisów </w:t>
      </w:r>
      <w:proofErr w:type="spellStart"/>
      <w:r w:rsidR="00A27A40" w:rsidRPr="00554CDE">
        <w:rPr>
          <w:rFonts w:ascii="Times New Roman" w:hAnsi="Times New Roman" w:cs="Times New Roman"/>
        </w:rPr>
        <w:t>społecznościowych</w:t>
      </w:r>
      <w:proofErr w:type="spellEnd"/>
      <w:r w:rsidR="00A27A40" w:rsidRPr="00554CDE">
        <w:rPr>
          <w:rFonts w:ascii="Times New Roman" w:hAnsi="Times New Roman" w:cs="Times New Roman"/>
        </w:rPr>
        <w:t xml:space="preserve"> czerpią korzyści majątkowe z wymiany treści pomiędzy użytkownikami</w:t>
      </w:r>
      <w:r w:rsidR="00A11FEF" w:rsidRPr="00554CDE">
        <w:rPr>
          <w:rFonts w:ascii="Times New Roman" w:hAnsi="Times New Roman" w:cs="Times New Roman"/>
        </w:rPr>
        <w:t>, a więc zarówno z wykorzystywania utworów chronionych prawami osób trzecich, jak i utworów stworzonych przez użytkowników</w:t>
      </w:r>
      <w:r w:rsidR="00A27A40" w:rsidRPr="00554CDE">
        <w:rPr>
          <w:rFonts w:ascii="Times New Roman" w:hAnsi="Times New Roman" w:cs="Times New Roman"/>
        </w:rPr>
        <w:t>.</w:t>
      </w:r>
    </w:p>
    <w:p w:rsidR="00182B4E" w:rsidRPr="00554CDE" w:rsidRDefault="00182B4E" w:rsidP="00554CDE">
      <w:pPr>
        <w:jc w:val="both"/>
        <w:rPr>
          <w:rFonts w:ascii="Times New Roman" w:hAnsi="Times New Roman" w:cs="Times New Roman"/>
        </w:rPr>
      </w:pPr>
      <w:r w:rsidRPr="00554CDE">
        <w:rPr>
          <w:rFonts w:ascii="Times New Roman" w:hAnsi="Times New Roman" w:cs="Times New Roman"/>
        </w:rPr>
        <w:t>Także w tym przypadku dialog „Licencje dla Europy” nie doprowadził do żadnych uzgodnień.</w:t>
      </w:r>
      <w:r w:rsidR="00A27A40" w:rsidRPr="00554CDE">
        <w:rPr>
          <w:rFonts w:ascii="Times New Roman" w:hAnsi="Times New Roman" w:cs="Times New Roman"/>
        </w:rPr>
        <w:t xml:space="preserve"> </w:t>
      </w:r>
      <w:r w:rsidR="00BF70FF">
        <w:rPr>
          <w:rFonts w:ascii="Times New Roman" w:hAnsi="Times New Roman" w:cs="Times New Roman"/>
        </w:rPr>
        <w:br/>
      </w:r>
      <w:r w:rsidR="00A27A40" w:rsidRPr="00554CDE">
        <w:rPr>
          <w:rFonts w:ascii="Times New Roman" w:hAnsi="Times New Roman" w:cs="Times New Roman"/>
        </w:rPr>
        <w:t xml:space="preserve">Z jednej strony wzywano do wprowadzenia w prawie UE wyjątku obejmującego treści tworzone przez użytkowników. Z drugiej natomiast wskazywano, iż wystarczające są mechanizmy licencyjne (licencje udzielane platformom </w:t>
      </w:r>
      <w:proofErr w:type="spellStart"/>
      <w:r w:rsidR="00A27A40" w:rsidRPr="00554CDE">
        <w:rPr>
          <w:rFonts w:ascii="Times New Roman" w:hAnsi="Times New Roman" w:cs="Times New Roman"/>
        </w:rPr>
        <w:t>społecznościowym</w:t>
      </w:r>
      <w:proofErr w:type="spellEnd"/>
      <w:r w:rsidR="00A11FEF" w:rsidRPr="00554CDE">
        <w:rPr>
          <w:rFonts w:ascii="Times New Roman" w:hAnsi="Times New Roman" w:cs="Times New Roman"/>
        </w:rPr>
        <w:t xml:space="preserve"> oraz</w:t>
      </w:r>
      <w:r w:rsidR="00A27A40" w:rsidRPr="00554CDE">
        <w:rPr>
          <w:rFonts w:ascii="Times New Roman" w:hAnsi="Times New Roman" w:cs="Times New Roman"/>
        </w:rPr>
        <w:t xml:space="preserve"> tzw. </w:t>
      </w:r>
      <w:proofErr w:type="spellStart"/>
      <w:r w:rsidR="00A27A40" w:rsidRPr="00554CDE">
        <w:rPr>
          <w:rFonts w:ascii="Times New Roman" w:hAnsi="Times New Roman" w:cs="Times New Roman"/>
        </w:rPr>
        <w:t>mikrolicencje</w:t>
      </w:r>
      <w:proofErr w:type="spellEnd"/>
      <w:r w:rsidR="00A27A40" w:rsidRPr="00554CDE">
        <w:rPr>
          <w:rFonts w:ascii="Times New Roman" w:hAnsi="Times New Roman" w:cs="Times New Roman"/>
        </w:rPr>
        <w:t xml:space="preserve"> kierowane do użytkowników).</w:t>
      </w:r>
    </w:p>
    <w:p w:rsidR="00182B4E" w:rsidRPr="00554CDE" w:rsidRDefault="00182B4E" w:rsidP="00554CDE">
      <w:pPr>
        <w:pStyle w:val="Akapitzlist"/>
        <w:numPr>
          <w:ilvl w:val="0"/>
          <w:numId w:val="2"/>
        </w:numPr>
        <w:jc w:val="both"/>
        <w:rPr>
          <w:rFonts w:ascii="Times New Roman" w:hAnsi="Times New Roman" w:cs="Times New Roman"/>
          <w:i/>
        </w:rPr>
      </w:pPr>
      <w:r w:rsidRPr="00554CDE">
        <w:rPr>
          <w:rFonts w:ascii="Times New Roman" w:hAnsi="Times New Roman" w:cs="Times New Roman"/>
          <w:i/>
        </w:rPr>
        <w:t>Jakie działania powinna podjąć Unia Europejska w odniesieniu do problematyki treści tworzonych przez użytkowników?</w:t>
      </w:r>
    </w:p>
    <w:p w:rsidR="00182B4E" w:rsidRPr="00554CDE" w:rsidRDefault="00182B4E" w:rsidP="00554CDE">
      <w:pPr>
        <w:jc w:val="both"/>
        <w:rPr>
          <w:rFonts w:ascii="Times New Roman" w:hAnsi="Times New Roman" w:cs="Times New Roman"/>
          <w:i/>
        </w:rPr>
      </w:pPr>
    </w:p>
    <w:p w:rsidR="00A11FEF" w:rsidRPr="00554CDE" w:rsidRDefault="00A11FEF" w:rsidP="00554CDE">
      <w:pPr>
        <w:pStyle w:val="Nagwek2"/>
      </w:pPr>
      <w:r w:rsidRPr="00554CDE">
        <w:t>II.3. Dozwolony użytek osobisty i reprografia</w:t>
      </w:r>
    </w:p>
    <w:p w:rsidR="00A11FEF" w:rsidRPr="00554CDE" w:rsidRDefault="00303429" w:rsidP="00554CDE">
      <w:pPr>
        <w:jc w:val="both"/>
        <w:rPr>
          <w:rFonts w:ascii="Times New Roman" w:hAnsi="Times New Roman" w:cs="Times New Roman"/>
        </w:rPr>
      </w:pPr>
      <w:r w:rsidRPr="00554CDE">
        <w:rPr>
          <w:rFonts w:ascii="Times New Roman" w:hAnsi="Times New Roman" w:cs="Times New Roman"/>
        </w:rPr>
        <w:t>Dyrektywa 2001/29/WE przewiduje dwa istotne wyjątki od wyłącznego prawa do zwielokrotniania utworów i przedmiotów praw pokrewnych.</w:t>
      </w:r>
    </w:p>
    <w:p w:rsidR="006852A7" w:rsidRPr="00554CDE" w:rsidRDefault="00303429" w:rsidP="00554CDE">
      <w:pPr>
        <w:jc w:val="both"/>
        <w:rPr>
          <w:rFonts w:ascii="Times New Roman" w:hAnsi="Times New Roman" w:cs="Times New Roman"/>
        </w:rPr>
      </w:pPr>
      <w:r w:rsidRPr="00554CDE">
        <w:rPr>
          <w:rFonts w:ascii="Times New Roman" w:hAnsi="Times New Roman" w:cs="Times New Roman"/>
        </w:rPr>
        <w:t xml:space="preserve">Pierwszy z nich </w:t>
      </w:r>
      <w:r w:rsidR="006852A7" w:rsidRPr="00554CDE">
        <w:rPr>
          <w:rFonts w:ascii="Times New Roman" w:hAnsi="Times New Roman" w:cs="Times New Roman"/>
        </w:rPr>
        <w:t>dotyczy zwielokrotniania na dowolnym nośniku przez osobę fizyczną do prywatnego, niekomercyjnego użytku (art. 5 ust. 2 lit. b) dyrektywy 2001/29/WE)</w:t>
      </w:r>
      <w:r w:rsidR="00657035" w:rsidRPr="00554CDE">
        <w:rPr>
          <w:rStyle w:val="Odwoanieprzypisudolnego"/>
          <w:rFonts w:ascii="Times New Roman" w:hAnsi="Times New Roman" w:cs="Times New Roman"/>
        </w:rPr>
        <w:footnoteReference w:id="31"/>
      </w:r>
      <w:r w:rsidR="006852A7" w:rsidRPr="00554CDE">
        <w:rPr>
          <w:rFonts w:ascii="Times New Roman" w:hAnsi="Times New Roman" w:cs="Times New Roman"/>
        </w:rPr>
        <w:t>.</w:t>
      </w:r>
    </w:p>
    <w:p w:rsidR="00303429" w:rsidRPr="00554CDE" w:rsidRDefault="006852A7" w:rsidP="00554CDE">
      <w:pPr>
        <w:jc w:val="both"/>
        <w:rPr>
          <w:rFonts w:ascii="Times New Roman" w:hAnsi="Times New Roman" w:cs="Times New Roman"/>
        </w:rPr>
      </w:pPr>
      <w:r w:rsidRPr="00554CDE">
        <w:rPr>
          <w:rFonts w:ascii="Times New Roman" w:hAnsi="Times New Roman" w:cs="Times New Roman"/>
        </w:rPr>
        <w:t>Drugi obejmuje zwielokrotnianie</w:t>
      </w:r>
      <w:r w:rsidR="00303429" w:rsidRPr="00554CDE">
        <w:rPr>
          <w:rFonts w:ascii="Times New Roman" w:hAnsi="Times New Roman" w:cs="Times New Roman"/>
        </w:rPr>
        <w:t xml:space="preserve"> na papierze lub podobnym nośniku przy użyciu dowolnej techniki fotograficznej lub podobnej</w:t>
      </w:r>
      <w:r w:rsidR="00657035" w:rsidRPr="00554CDE">
        <w:rPr>
          <w:rFonts w:ascii="Times New Roman" w:hAnsi="Times New Roman" w:cs="Times New Roman"/>
        </w:rPr>
        <w:t xml:space="preserve"> (art. 5 ust. 2 lit. a) dyrektywy 2001/29/WE). W</w:t>
      </w:r>
      <w:r w:rsidRPr="00554CDE">
        <w:rPr>
          <w:rFonts w:ascii="Times New Roman" w:hAnsi="Times New Roman" w:cs="Times New Roman"/>
        </w:rPr>
        <w:t xml:space="preserve"> praktyce</w:t>
      </w:r>
      <w:r w:rsidR="00657035" w:rsidRPr="00554CDE">
        <w:rPr>
          <w:rFonts w:ascii="Times New Roman" w:hAnsi="Times New Roman" w:cs="Times New Roman"/>
        </w:rPr>
        <w:t xml:space="preserve"> dotyczy to przede wszystkim zwielokrotniania utworów dla własnego użytku osobistego osób trzecich, dokonywanego w ramach działalności gospodarczej prowadzonej przez posiadaczy urządzeń reprograficznych (punkty kserograficzne).</w:t>
      </w:r>
    </w:p>
    <w:p w:rsidR="00B7648A" w:rsidRPr="00554CDE" w:rsidRDefault="006852A7" w:rsidP="00554CDE">
      <w:pPr>
        <w:jc w:val="both"/>
        <w:rPr>
          <w:rFonts w:ascii="Times New Roman" w:hAnsi="Times New Roman" w:cs="Times New Roman"/>
        </w:rPr>
      </w:pPr>
      <w:r w:rsidRPr="00554CDE">
        <w:rPr>
          <w:rFonts w:ascii="Times New Roman" w:hAnsi="Times New Roman" w:cs="Times New Roman"/>
        </w:rPr>
        <w:t>W obu przypadkach warunkiem wprowadzenia wyjątku w prawie krajowym jest otrzymanie przez uprawnionych godziwej rekompensaty.</w:t>
      </w:r>
      <w:bookmarkStart w:id="0" w:name="_GoBack"/>
      <w:bookmarkEnd w:id="0"/>
      <w:r w:rsidR="00657035" w:rsidRPr="00554CDE">
        <w:rPr>
          <w:rFonts w:ascii="Times New Roman" w:hAnsi="Times New Roman" w:cs="Times New Roman"/>
        </w:rPr>
        <w:t xml:space="preserve"> W prawie UE nie określono sposobu zapewnienia tej rekompensaty. W państwach członkowskich, w których wprowadzono powyższe wyjątki, jest to dokonywane poprzez system opłat (</w:t>
      </w:r>
      <w:proofErr w:type="spellStart"/>
      <w:r w:rsidR="00657035" w:rsidRPr="00554CDE">
        <w:rPr>
          <w:rFonts w:ascii="Times New Roman" w:hAnsi="Times New Roman" w:cs="Times New Roman"/>
          <w:i/>
        </w:rPr>
        <w:t>levies</w:t>
      </w:r>
      <w:proofErr w:type="spellEnd"/>
      <w:r w:rsidR="00657035" w:rsidRPr="00554CDE">
        <w:rPr>
          <w:rFonts w:ascii="Times New Roman" w:hAnsi="Times New Roman" w:cs="Times New Roman"/>
        </w:rPr>
        <w:t xml:space="preserve">) </w:t>
      </w:r>
      <w:r w:rsidR="00CC4BCB" w:rsidRPr="00554CDE">
        <w:rPr>
          <w:rFonts w:ascii="Times New Roman" w:hAnsi="Times New Roman" w:cs="Times New Roman"/>
        </w:rPr>
        <w:t>nakładanych na nośniki i urządzenia wykorzystywane do kopiowania utworów</w:t>
      </w:r>
      <w:r w:rsidR="00657035" w:rsidRPr="00554CDE">
        <w:rPr>
          <w:rStyle w:val="Odwoanieprzypisudolnego"/>
          <w:rFonts w:ascii="Times New Roman" w:hAnsi="Times New Roman" w:cs="Times New Roman"/>
        </w:rPr>
        <w:footnoteReference w:id="32"/>
      </w:r>
      <w:r w:rsidR="00657035" w:rsidRPr="00554CDE">
        <w:rPr>
          <w:rFonts w:ascii="Times New Roman" w:hAnsi="Times New Roman" w:cs="Times New Roman"/>
        </w:rPr>
        <w:t xml:space="preserve"> oraz opłat reprograficznych</w:t>
      </w:r>
      <w:r w:rsidR="00CC4BCB" w:rsidRPr="00554CDE">
        <w:rPr>
          <w:rFonts w:ascii="Times New Roman" w:hAnsi="Times New Roman" w:cs="Times New Roman"/>
        </w:rPr>
        <w:t>, którymi obciążone są podmioty prowadzące działalność gospodarczą w zakresie reprografii</w:t>
      </w:r>
      <w:r w:rsidR="00657035" w:rsidRPr="00554CDE">
        <w:rPr>
          <w:rStyle w:val="Odwoanieprzypisudolnego"/>
          <w:rFonts w:ascii="Times New Roman" w:hAnsi="Times New Roman" w:cs="Times New Roman"/>
        </w:rPr>
        <w:footnoteReference w:id="33"/>
      </w:r>
      <w:r w:rsidR="00657035" w:rsidRPr="00554CDE">
        <w:rPr>
          <w:rFonts w:ascii="Times New Roman" w:hAnsi="Times New Roman" w:cs="Times New Roman"/>
        </w:rPr>
        <w:t>.</w:t>
      </w:r>
      <w:r w:rsidR="00B7648A" w:rsidRPr="00554CDE">
        <w:rPr>
          <w:rFonts w:ascii="Times New Roman" w:hAnsi="Times New Roman" w:cs="Times New Roman"/>
        </w:rPr>
        <w:t xml:space="preserve"> Brak szczegółowej harmonizacji powoduje jednak występowanie znacznych różnic pomiędzy </w:t>
      </w:r>
      <w:r w:rsidR="00554CDE" w:rsidRPr="00554CDE">
        <w:rPr>
          <w:rFonts w:ascii="Times New Roman" w:hAnsi="Times New Roman" w:cs="Times New Roman"/>
        </w:rPr>
        <w:t>rozwiązaniami</w:t>
      </w:r>
      <w:r w:rsidR="00B7648A" w:rsidRPr="00554CDE">
        <w:rPr>
          <w:rFonts w:ascii="Times New Roman" w:hAnsi="Times New Roman" w:cs="Times New Roman"/>
        </w:rPr>
        <w:t xml:space="preserve"> funkcjonującymi w poszczególnych państwach członkowskich. Różnice te dotyczą np. katalogu nośników i urządzeń objętych opłatami czy zwolnienia od opłat urządzeń o przeznaczeniu typowo profesjonalnym.</w:t>
      </w:r>
    </w:p>
    <w:p w:rsidR="00CC4BCB" w:rsidRPr="00554CDE" w:rsidRDefault="00B7648A" w:rsidP="00554CDE">
      <w:pPr>
        <w:jc w:val="both"/>
        <w:rPr>
          <w:rFonts w:ascii="Times New Roman" w:hAnsi="Times New Roman" w:cs="Times New Roman"/>
        </w:rPr>
      </w:pPr>
      <w:r w:rsidRPr="00554CDE">
        <w:rPr>
          <w:rFonts w:ascii="Times New Roman" w:hAnsi="Times New Roman" w:cs="Times New Roman"/>
        </w:rPr>
        <w:t>Dodatkowo,</w:t>
      </w:r>
      <w:r w:rsidR="00CC4BCB" w:rsidRPr="00554CDE">
        <w:rPr>
          <w:rFonts w:ascii="Times New Roman" w:hAnsi="Times New Roman" w:cs="Times New Roman"/>
        </w:rPr>
        <w:t xml:space="preserve"> z uwagi na nieustanny postęp technologiczny</w:t>
      </w:r>
      <w:r w:rsidRPr="00554CDE">
        <w:rPr>
          <w:rFonts w:ascii="Times New Roman" w:hAnsi="Times New Roman" w:cs="Times New Roman"/>
        </w:rPr>
        <w:t>,</w:t>
      </w:r>
      <w:r w:rsidR="00CC4BCB" w:rsidRPr="00554CDE">
        <w:rPr>
          <w:rFonts w:ascii="Times New Roman" w:hAnsi="Times New Roman" w:cs="Times New Roman"/>
        </w:rPr>
        <w:t xml:space="preserve"> pojawiają się problemy dotyczące stosowania systemu opłat z tytułu prywatnego kopiowania w środowisku cyfrowym, w szczególności w przypadku zwielokrotniania legalnie nabytych plików el</w:t>
      </w:r>
      <w:r w:rsidR="008A167A" w:rsidRPr="00554CDE">
        <w:rPr>
          <w:rFonts w:ascii="Times New Roman" w:hAnsi="Times New Roman" w:cs="Times New Roman"/>
        </w:rPr>
        <w:t>ektronicznych w serwisach internetowych umożliwiających takie zwielokrotnianie w ramach licencji uzyskanej przez usługodawcę</w:t>
      </w:r>
      <w:r w:rsidRPr="00554CDE">
        <w:rPr>
          <w:rFonts w:ascii="Times New Roman" w:hAnsi="Times New Roman" w:cs="Times New Roman"/>
        </w:rPr>
        <w:t>, czy też nowych rodzajów usług elektronicznych umożliwiających zwielokrotnianie utworów do użytku prywatnego (np. usługi oparte na chmurze)</w:t>
      </w:r>
      <w:r w:rsidR="008A167A" w:rsidRPr="00554CDE">
        <w:rPr>
          <w:rFonts w:ascii="Times New Roman" w:hAnsi="Times New Roman" w:cs="Times New Roman"/>
        </w:rPr>
        <w:t>.</w:t>
      </w:r>
    </w:p>
    <w:p w:rsidR="00BF70FF" w:rsidRPr="00554CDE" w:rsidRDefault="00BF70FF" w:rsidP="00BF70FF">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Państwa zdaniem istnieje potrzeba bardziej precyzyjnego sformułowania w prawie UE zakresu i sposobu korzystania z utworów w ramach dozwolonego użytku prywatnego?</w:t>
      </w:r>
      <w:r>
        <w:rPr>
          <w:rFonts w:ascii="Times New Roman" w:hAnsi="Times New Roman" w:cs="Times New Roman"/>
          <w:i/>
        </w:rPr>
        <w:t xml:space="preserve"> </w:t>
      </w:r>
      <w:r>
        <w:rPr>
          <w:rFonts w:ascii="Times New Roman" w:hAnsi="Times New Roman" w:cs="Times New Roman"/>
          <w:i/>
        </w:rPr>
        <w:br/>
        <w:t>W których obszarach?</w:t>
      </w:r>
    </w:p>
    <w:p w:rsidR="00BF70FF" w:rsidRPr="00554CDE" w:rsidRDefault="00BF70FF" w:rsidP="00BF70FF">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Czy w prawie UE należy dokonać szczegółowej harmonizacji przepisów o rekompensacie </w:t>
      </w:r>
      <w:r>
        <w:rPr>
          <w:rFonts w:ascii="Times New Roman" w:hAnsi="Times New Roman" w:cs="Times New Roman"/>
          <w:i/>
        </w:rPr>
        <w:br/>
      </w:r>
      <w:r w:rsidRPr="00554CDE">
        <w:rPr>
          <w:rFonts w:ascii="Times New Roman" w:hAnsi="Times New Roman" w:cs="Times New Roman"/>
          <w:i/>
        </w:rPr>
        <w:t xml:space="preserve">z tytułu prywatnego kopiowania? W jakim kierunku powinny iść tego rodzaju rozwiązania, </w:t>
      </w:r>
      <w:r>
        <w:rPr>
          <w:rFonts w:ascii="Times New Roman" w:hAnsi="Times New Roman" w:cs="Times New Roman"/>
          <w:i/>
        </w:rPr>
        <w:br/>
      </w:r>
      <w:r w:rsidRPr="00554CDE">
        <w:rPr>
          <w:rFonts w:ascii="Times New Roman" w:hAnsi="Times New Roman" w:cs="Times New Roman"/>
          <w:i/>
        </w:rPr>
        <w:t>w szczególności mając na uwadze swobodny przepływ towarów i usług w UE oraz fakt, że część urządzeń jest wykorzystywana do celów wyłącznie profesjonalnych?</w:t>
      </w:r>
      <w:r>
        <w:rPr>
          <w:rFonts w:ascii="Times New Roman" w:hAnsi="Times New Roman" w:cs="Times New Roman"/>
          <w:i/>
        </w:rPr>
        <w:t xml:space="preserve"> W jakim zakresie państwa członkowskie powinny zachować autonomię w regulowaniu tych zagadnień? Czy należy uwzględnić, i jak, zjawisko kopiowania utworów do celów prywatnych przy użyciu urządzeń nabytych do celów profesjonalnych (np. przez pracowników przy użyciu sprzętu służbowego)? Czy należy uwzględnić, i jak, zjawisko wtórnego obrotu sprzętem nabytym pierwotnie do celów profesjonalnych, który w ramach tego wtórnego obrotu może być nabyty do celów prywatnych?  </w:t>
      </w:r>
    </w:p>
    <w:p w:rsidR="00BF70FF" w:rsidRPr="00554CDE" w:rsidRDefault="00BF70FF" w:rsidP="00BF70FF">
      <w:pPr>
        <w:pStyle w:val="Akapitzlist"/>
        <w:numPr>
          <w:ilvl w:val="0"/>
          <w:numId w:val="2"/>
        </w:numPr>
        <w:jc w:val="both"/>
        <w:rPr>
          <w:rFonts w:ascii="Times New Roman" w:hAnsi="Times New Roman" w:cs="Times New Roman"/>
          <w:i/>
        </w:rPr>
      </w:pPr>
      <w:r w:rsidRPr="00554CDE">
        <w:rPr>
          <w:rFonts w:ascii="Times New Roman" w:hAnsi="Times New Roman" w:cs="Times New Roman"/>
          <w:i/>
        </w:rPr>
        <w:t>Czy system opłat z tytułu prywatnego kopiowania powinien uwzględniać sytuacje, w których zwielokrotnienie legalnie nabytej kopii utworu odbywa się za zgodą uprawnionych albo jest możliwe w tak nieznacznym zakresie, że szkoda dla uprawnionych jest niewielka, a jeśli tak to w jaki sposób?</w:t>
      </w:r>
    </w:p>
    <w:p w:rsidR="00BF70FF" w:rsidRPr="00554CDE" w:rsidRDefault="00BF70FF" w:rsidP="00BF70FF">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Czy system rekompensaty z tytułu prywatnego kopiowania powinien uwzględniać nowe rodzaje usług </w:t>
      </w:r>
      <w:proofErr w:type="spellStart"/>
      <w:r w:rsidRPr="00554CDE">
        <w:rPr>
          <w:rFonts w:ascii="Times New Roman" w:hAnsi="Times New Roman" w:cs="Times New Roman"/>
          <w:i/>
        </w:rPr>
        <w:t>online</w:t>
      </w:r>
      <w:proofErr w:type="spellEnd"/>
      <w:r w:rsidRPr="00554CDE">
        <w:rPr>
          <w:rFonts w:ascii="Times New Roman" w:hAnsi="Times New Roman" w:cs="Times New Roman"/>
          <w:i/>
        </w:rPr>
        <w:t xml:space="preserve"> umożliwiających zwielokrotnianie utworów do użytku prywatnego, takie jak np. usługi oparte na technologii chmury, a jeśli tak to w jaki sposób?</w:t>
      </w:r>
    </w:p>
    <w:p w:rsidR="00BF70FF" w:rsidRPr="00554CDE" w:rsidRDefault="00BF70FF" w:rsidP="00BF70FF">
      <w:pPr>
        <w:pStyle w:val="Akapitzlist"/>
        <w:numPr>
          <w:ilvl w:val="0"/>
          <w:numId w:val="2"/>
        </w:numPr>
        <w:jc w:val="both"/>
        <w:rPr>
          <w:rFonts w:ascii="Times New Roman" w:hAnsi="Times New Roman" w:cs="Times New Roman"/>
          <w:i/>
        </w:rPr>
      </w:pPr>
      <w:r w:rsidRPr="00554CDE">
        <w:rPr>
          <w:rFonts w:ascii="Times New Roman" w:hAnsi="Times New Roman" w:cs="Times New Roman"/>
          <w:i/>
        </w:rPr>
        <w:t xml:space="preserve">Czy wysokość opłat z tytułu prywatnego kopiowania powinna być wskazywana na rachunkach/fakturach wystawianych końcowym nabywcom obciążonych nimi nośników </w:t>
      </w:r>
      <w:r w:rsidR="007843D1">
        <w:rPr>
          <w:rFonts w:ascii="Times New Roman" w:hAnsi="Times New Roman" w:cs="Times New Roman"/>
          <w:i/>
        </w:rPr>
        <w:br/>
      </w:r>
      <w:r w:rsidRPr="00554CDE">
        <w:rPr>
          <w:rFonts w:ascii="Times New Roman" w:hAnsi="Times New Roman" w:cs="Times New Roman"/>
          <w:i/>
        </w:rPr>
        <w:t>i urządzeń? Jaka byłaby korzyść z takiego rozwiązania?</w:t>
      </w:r>
      <w:r>
        <w:rPr>
          <w:rFonts w:ascii="Times New Roman" w:hAnsi="Times New Roman" w:cs="Times New Roman"/>
          <w:i/>
        </w:rPr>
        <w:t xml:space="preserve"> Jakie mogą być negatywne konsekwencje? </w:t>
      </w:r>
    </w:p>
    <w:p w:rsidR="00A27A40" w:rsidRPr="00554CDE" w:rsidRDefault="00A27A40" w:rsidP="00554CDE">
      <w:pPr>
        <w:jc w:val="both"/>
        <w:rPr>
          <w:rFonts w:ascii="Times New Roman" w:hAnsi="Times New Roman" w:cs="Times New Roman"/>
          <w:i/>
        </w:rPr>
      </w:pPr>
    </w:p>
    <w:sectPr w:rsidR="00A27A40" w:rsidRPr="00554CDE" w:rsidSect="0064575B">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8B" w:rsidRDefault="004E178B" w:rsidP="00D6604E">
      <w:pPr>
        <w:spacing w:after="0" w:line="240" w:lineRule="auto"/>
      </w:pPr>
      <w:r>
        <w:separator/>
      </w:r>
    </w:p>
  </w:endnote>
  <w:endnote w:type="continuationSeparator" w:id="0">
    <w:p w:rsidR="004E178B" w:rsidRDefault="004E178B" w:rsidP="00D6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7221"/>
      <w:docPartObj>
        <w:docPartGallery w:val="Page Numbers (Bottom of Page)"/>
        <w:docPartUnique/>
      </w:docPartObj>
    </w:sdtPr>
    <w:sdtEndPr>
      <w:rPr>
        <w:color w:val="7F7F7F" w:themeColor="background1" w:themeShade="7F"/>
        <w:spacing w:val="60"/>
      </w:rPr>
    </w:sdtEndPr>
    <w:sdtContent>
      <w:p w:rsidR="004E178B" w:rsidRDefault="004E178B">
        <w:pPr>
          <w:pStyle w:val="Stopka"/>
          <w:pBdr>
            <w:top w:val="single" w:sz="4" w:space="1" w:color="D9D9D9" w:themeColor="background1" w:themeShade="D9"/>
          </w:pBdr>
          <w:rPr>
            <w:b/>
          </w:rPr>
        </w:pPr>
        <w:fldSimple w:instr=" PAGE   \* MERGEFORMAT ">
          <w:r w:rsidR="008F019A" w:rsidRPr="008F019A">
            <w:rPr>
              <w:b/>
              <w:noProof/>
            </w:rPr>
            <w:t>2</w:t>
          </w:r>
        </w:fldSimple>
        <w:r>
          <w:rPr>
            <w:b/>
          </w:rPr>
          <w:t xml:space="preserve"> | </w:t>
        </w:r>
        <w:r>
          <w:rPr>
            <w:color w:val="7F7F7F" w:themeColor="background1" w:themeShade="7F"/>
            <w:spacing w:val="60"/>
          </w:rPr>
          <w:t>Strona</w:t>
        </w:r>
      </w:p>
    </w:sdtContent>
  </w:sdt>
  <w:p w:rsidR="004E178B" w:rsidRDefault="004E178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7223"/>
      <w:docPartObj>
        <w:docPartGallery w:val="Page Numbers (Bottom of Page)"/>
        <w:docPartUnique/>
      </w:docPartObj>
    </w:sdtPr>
    <w:sdtEndPr>
      <w:rPr>
        <w:color w:val="7F7F7F" w:themeColor="background1" w:themeShade="7F"/>
        <w:spacing w:val="60"/>
      </w:rPr>
    </w:sdtEndPr>
    <w:sdtContent>
      <w:p w:rsidR="004E178B" w:rsidRDefault="004E178B">
        <w:pPr>
          <w:pStyle w:val="Stopka"/>
          <w:pBdr>
            <w:top w:val="single" w:sz="4" w:space="1" w:color="D9D9D9" w:themeColor="background1" w:themeShade="D9"/>
          </w:pBdr>
          <w:rPr>
            <w:b/>
          </w:rPr>
        </w:pPr>
        <w:fldSimple w:instr=" PAGE   \* MERGEFORMAT ">
          <w:r w:rsidR="008F019A" w:rsidRPr="008F019A">
            <w:rPr>
              <w:b/>
              <w:noProof/>
            </w:rPr>
            <w:t>1</w:t>
          </w:r>
        </w:fldSimple>
        <w:r>
          <w:rPr>
            <w:b/>
          </w:rPr>
          <w:t xml:space="preserve"> | </w:t>
        </w:r>
        <w:r>
          <w:rPr>
            <w:color w:val="7F7F7F" w:themeColor="background1" w:themeShade="7F"/>
            <w:spacing w:val="60"/>
          </w:rPr>
          <w:t>Strona</w:t>
        </w:r>
      </w:p>
    </w:sdtContent>
  </w:sdt>
  <w:p w:rsidR="004E178B" w:rsidRDefault="004E17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8B" w:rsidRDefault="004E178B" w:rsidP="00D6604E">
      <w:pPr>
        <w:spacing w:after="0" w:line="240" w:lineRule="auto"/>
      </w:pPr>
      <w:r>
        <w:separator/>
      </w:r>
    </w:p>
  </w:footnote>
  <w:footnote w:type="continuationSeparator" w:id="0">
    <w:p w:rsidR="004E178B" w:rsidRDefault="004E178B" w:rsidP="00D6604E">
      <w:pPr>
        <w:spacing w:after="0" w:line="240" w:lineRule="auto"/>
      </w:pPr>
      <w:r>
        <w:continuationSeparator/>
      </w:r>
    </w:p>
  </w:footnote>
  <w:footnote w:id="1">
    <w:p w:rsidR="004E178B" w:rsidRPr="00692D69" w:rsidRDefault="004E178B" w:rsidP="00692D69">
      <w:pPr>
        <w:pStyle w:val="Tekstprzypisudolnego"/>
        <w:jc w:val="both"/>
        <w:rPr>
          <w:rFonts w:ascii="Times New Roman" w:hAnsi="Times New Roman" w:cs="Times New Roman"/>
          <w:lang w:val="en-US"/>
        </w:rPr>
      </w:pPr>
      <w:r w:rsidRPr="00692D69">
        <w:rPr>
          <w:rStyle w:val="Odwoanieprzypisudolnego"/>
          <w:rFonts w:ascii="Times New Roman" w:hAnsi="Times New Roman" w:cs="Times New Roman"/>
        </w:rPr>
        <w:footnoteRef/>
      </w:r>
      <w:r w:rsidRPr="00692D69">
        <w:rPr>
          <w:rFonts w:ascii="Times New Roman" w:hAnsi="Times New Roman" w:cs="Times New Roman"/>
          <w:lang w:val="en-US"/>
        </w:rPr>
        <w:t xml:space="preserve"> </w:t>
      </w:r>
      <w:proofErr w:type="spellStart"/>
      <w:r w:rsidRPr="00692D69">
        <w:rPr>
          <w:rFonts w:ascii="Times New Roman" w:hAnsi="Times New Roman" w:cs="Times New Roman"/>
          <w:lang w:val="en-US"/>
        </w:rPr>
        <w:t>Sprawy</w:t>
      </w:r>
      <w:proofErr w:type="spellEnd"/>
      <w:r w:rsidRPr="00692D69">
        <w:rPr>
          <w:rFonts w:ascii="Times New Roman" w:hAnsi="Times New Roman" w:cs="Times New Roman"/>
          <w:lang w:val="en-US"/>
        </w:rPr>
        <w:t xml:space="preserve"> C-466/12 </w:t>
      </w:r>
      <w:proofErr w:type="spellStart"/>
      <w:r w:rsidRPr="00692D69">
        <w:rPr>
          <w:rFonts w:ascii="Times New Roman" w:hAnsi="Times New Roman" w:cs="Times New Roman"/>
          <w:lang w:val="en-US"/>
        </w:rPr>
        <w:t>Svensson</w:t>
      </w:r>
      <w:proofErr w:type="spellEnd"/>
      <w:r w:rsidRPr="00692D69">
        <w:rPr>
          <w:rFonts w:ascii="Times New Roman" w:hAnsi="Times New Roman" w:cs="Times New Roman"/>
          <w:lang w:val="en-US"/>
        </w:rPr>
        <w:t xml:space="preserve">, C-348/13 </w:t>
      </w:r>
      <w:proofErr w:type="spellStart"/>
      <w:r w:rsidRPr="00692D69">
        <w:rPr>
          <w:rFonts w:ascii="Times New Roman" w:hAnsi="Times New Roman" w:cs="Times New Roman"/>
          <w:lang w:val="en-US"/>
        </w:rPr>
        <w:t>Bestwater</w:t>
      </w:r>
      <w:proofErr w:type="spellEnd"/>
      <w:r w:rsidRPr="00692D69">
        <w:rPr>
          <w:rFonts w:ascii="Times New Roman" w:hAnsi="Times New Roman" w:cs="Times New Roman"/>
          <w:lang w:val="en-US"/>
        </w:rPr>
        <w:t xml:space="preserve"> International </w:t>
      </w:r>
      <w:proofErr w:type="spellStart"/>
      <w:r w:rsidRPr="00692D69">
        <w:rPr>
          <w:rFonts w:ascii="Times New Roman" w:hAnsi="Times New Roman" w:cs="Times New Roman"/>
          <w:lang w:val="en-US"/>
        </w:rPr>
        <w:t>oraz</w:t>
      </w:r>
      <w:proofErr w:type="spellEnd"/>
      <w:r w:rsidRPr="00692D69">
        <w:rPr>
          <w:rFonts w:ascii="Times New Roman" w:hAnsi="Times New Roman" w:cs="Times New Roman"/>
          <w:lang w:val="en-US"/>
        </w:rPr>
        <w:t xml:space="preserve"> C-279/13 C More Entertainment.</w:t>
      </w:r>
    </w:p>
  </w:footnote>
  <w:footnote w:id="2">
    <w:p w:rsidR="004E178B" w:rsidRPr="00692D69" w:rsidRDefault="004E178B" w:rsidP="00692D69">
      <w:pPr>
        <w:pStyle w:val="Tekstprzypisudolnego"/>
        <w:jc w:val="both"/>
        <w:rPr>
          <w:rFonts w:ascii="Times New Roman" w:hAnsi="Times New Roman" w:cs="Times New Roman"/>
          <w:lang w:val="en-US"/>
        </w:rPr>
      </w:pPr>
      <w:r w:rsidRPr="00692D69">
        <w:rPr>
          <w:rStyle w:val="Odwoanieprzypisudolnego"/>
          <w:rFonts w:ascii="Times New Roman" w:hAnsi="Times New Roman" w:cs="Times New Roman"/>
        </w:rPr>
        <w:footnoteRef/>
      </w:r>
      <w:r w:rsidRPr="00692D69">
        <w:rPr>
          <w:rFonts w:ascii="Times New Roman" w:hAnsi="Times New Roman" w:cs="Times New Roman"/>
          <w:lang w:val="en-US"/>
        </w:rPr>
        <w:t xml:space="preserve"> </w:t>
      </w:r>
      <w:proofErr w:type="spellStart"/>
      <w:r w:rsidRPr="00692D69">
        <w:rPr>
          <w:rFonts w:ascii="Times New Roman" w:hAnsi="Times New Roman" w:cs="Times New Roman"/>
          <w:lang w:val="en-US"/>
        </w:rPr>
        <w:t>Sprawa</w:t>
      </w:r>
      <w:proofErr w:type="spellEnd"/>
      <w:r w:rsidRPr="00692D69">
        <w:rPr>
          <w:rFonts w:ascii="Times New Roman" w:hAnsi="Times New Roman" w:cs="Times New Roman"/>
          <w:lang w:val="en-US"/>
        </w:rPr>
        <w:t xml:space="preserve"> C-360/13 Public Relations Consultants Association.</w:t>
      </w:r>
    </w:p>
  </w:footnote>
  <w:footnote w:id="3">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Jego odpowiednikiem w polskich przepisach jest art. 23</w:t>
      </w:r>
      <w:r w:rsidRPr="00692D69">
        <w:rPr>
          <w:rFonts w:ascii="Times New Roman" w:hAnsi="Times New Roman" w:cs="Times New Roman"/>
          <w:vertAlign w:val="superscript"/>
        </w:rPr>
        <w:t>1</w:t>
      </w:r>
      <w:r w:rsidRPr="00692D69">
        <w:rPr>
          <w:rFonts w:ascii="Times New Roman" w:hAnsi="Times New Roman" w:cs="Times New Roman"/>
        </w:rPr>
        <w:t xml:space="preserve"> ustawy</w:t>
      </w:r>
      <w:r>
        <w:rPr>
          <w:rFonts w:ascii="Times New Roman" w:hAnsi="Times New Roman" w:cs="Times New Roman"/>
        </w:rPr>
        <w:t xml:space="preserve"> z dnia 4 lutego 1994 r.</w:t>
      </w:r>
      <w:r w:rsidRPr="00692D69">
        <w:rPr>
          <w:rFonts w:ascii="Times New Roman" w:hAnsi="Times New Roman" w:cs="Times New Roman"/>
        </w:rPr>
        <w:t xml:space="preserve"> o prawie autorskim </w:t>
      </w:r>
      <w:r>
        <w:rPr>
          <w:rFonts w:ascii="Times New Roman" w:hAnsi="Times New Roman" w:cs="Times New Roman"/>
        </w:rPr>
        <w:br/>
      </w:r>
      <w:r w:rsidRPr="00692D69">
        <w:rPr>
          <w:rFonts w:ascii="Times New Roman" w:hAnsi="Times New Roman" w:cs="Times New Roman"/>
        </w:rPr>
        <w:t>i prawach pokrewnych.</w:t>
      </w:r>
    </w:p>
  </w:footnote>
  <w:footnote w:id="4">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51 ust. 3 ustawy o prawie autorskim i prawach pokrewnych.</w:t>
      </w:r>
    </w:p>
  </w:footnote>
  <w:footnote w:id="5">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Stanowi on, iż ochrona prawa autorskiego na mocy dyrektywy 2001/29/WE obejmuje wyłączne prawo do kontrolowania dystrybucji utworu w postaci materialnego nośnika.</w:t>
      </w:r>
    </w:p>
  </w:footnote>
  <w:footnote w:id="6">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Zgodnie z tym przepisem, czynności publicznego komunikowania i udostępniania utworów nie powodują wyczerpania praw w zakresie publicznego komunikowania i udostępniania.</w:t>
      </w:r>
    </w:p>
  </w:footnote>
  <w:footnote w:id="7">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Warto przypomnieć, iż TSUE potwierdził, że zasada wyczerpania prawa ma zastosowanie do kopii programów komputerowych nabytych w postaci elektronicznej (pobranych ze strony internetowej a więc bez użycia fizycznego nośnika). Stanowisko to zostało jednak wyrażone w oparciu o przepisy dyrektywy 2009/24/WE w sprawie ochrony prawnej programów komputerowych i nie wpływa ono na ograniczenie zasady wyczerpania prawa określonej</w:t>
      </w:r>
    </w:p>
  </w:footnote>
  <w:footnote w:id="8">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1 ust. 4 ustawy o prawie autorskim i prawach pokrewnych.</w:t>
      </w:r>
    </w:p>
  </w:footnote>
  <w:footnote w:id="9">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3 ust. 6 dyrektywy 2012/28/EU w sprawie niektórych dozwolonych sposobów korzystania z utworów osieroconych.</w:t>
      </w:r>
    </w:p>
  </w:footnote>
  <w:footnote w:id="10">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Art. 1 i 2 dyrektywy 2006/116/WE w sprawie czasu ochrony prawa autorskiego i niektórych praw pokrewnych. Por. art. 36 ustawy o prawie autorskim i prawach pokrewnych.</w:t>
      </w:r>
    </w:p>
  </w:footnote>
  <w:footnote w:id="11">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też art. 89 i art. 95 ustawy o prawie autorskim i prawach pokrewnych.</w:t>
      </w:r>
    </w:p>
  </w:footnote>
  <w:footnote w:id="12">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Dyrektywą 2011/77/UE dotyczącą zmiany dyrektywy 2006/116/WE. Zmiana ta nie została jeszcze implementowana w prawie polskim.</w:t>
      </w:r>
    </w:p>
  </w:footnote>
  <w:footnote w:id="13">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Art. 3 ust. 4 dyrektywy 2006/116/WE. Por. też art. 98 ustawy o prawie autorskim i prawach pokrewnych.</w:t>
      </w:r>
    </w:p>
  </w:footnote>
  <w:footnote w:id="14">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Art. 5 dyrektywy 2006/115/WE; por. też art. 70 ust. 2</w:t>
      </w:r>
      <w:r w:rsidRPr="00692D69">
        <w:rPr>
          <w:rFonts w:ascii="Times New Roman" w:hAnsi="Times New Roman" w:cs="Times New Roman"/>
          <w:vertAlign w:val="superscript"/>
        </w:rPr>
        <w:t>1</w:t>
      </w:r>
      <w:r w:rsidRPr="00692D69">
        <w:rPr>
          <w:rFonts w:ascii="Times New Roman" w:hAnsi="Times New Roman" w:cs="Times New Roman"/>
        </w:rPr>
        <w:t xml:space="preserve"> ustawy o prawie autorskim i prawach pokrewnych.</w:t>
      </w:r>
    </w:p>
  </w:footnote>
  <w:footnote w:id="15">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t>
      </w:r>
      <w:hyperlink r:id="rId1" w:history="1">
        <w:r w:rsidRPr="00692D69">
          <w:rPr>
            <w:rStyle w:val="Hipercze"/>
            <w:rFonts w:ascii="Times New Roman" w:hAnsi="Times New Roman" w:cs="Times New Roman"/>
          </w:rPr>
          <w:t>http://ec.europa.eu/internal_market/consultations/2012/intellectual-property-rights_en.htm</w:t>
        </w:r>
      </w:hyperlink>
      <w:r w:rsidRPr="00692D69">
        <w:rPr>
          <w:rFonts w:ascii="Times New Roman" w:hAnsi="Times New Roman" w:cs="Times New Roman"/>
        </w:rPr>
        <w:t xml:space="preserve"> </w:t>
      </w:r>
    </w:p>
  </w:footnote>
  <w:footnote w:id="16">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t>
      </w:r>
      <w:hyperlink r:id="rId2" w:history="1">
        <w:r w:rsidRPr="00692D69">
          <w:rPr>
            <w:rStyle w:val="Hipercze"/>
            <w:rFonts w:ascii="Times New Roman" w:hAnsi="Times New Roman" w:cs="Times New Roman"/>
          </w:rPr>
          <w:t>http://www.prawoautorskie.gov.pl/pages/posts/podsumowanie-konsultacji-spolecznych-w-sprawie-cywilnych-srodkow-egzekwowania-praw-wlasnosci-intelektualnej-434.php</w:t>
        </w:r>
      </w:hyperlink>
      <w:r w:rsidRPr="00692D69">
        <w:rPr>
          <w:rFonts w:ascii="Times New Roman" w:hAnsi="Times New Roman" w:cs="Times New Roman"/>
        </w:rPr>
        <w:t xml:space="preserve"> </w:t>
      </w:r>
    </w:p>
  </w:footnote>
  <w:footnote w:id="17">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Art. 9 ust. 2 Konwencji berneńskiej, art. 13 Porozumienia w sprawie handlowych aspektów praw własności intelektualnej (TRIPS), art. 10 ust. 2 Traktatu WIPO o prawie autorskim, art. 16 ust. 2 Traktatu WIPO o artystycznych wykonaniach i fonogramach.</w:t>
      </w:r>
    </w:p>
  </w:footnote>
  <w:footnote w:id="18">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Art. 5 i 6 dyrektywy 2009/24/WE, art. 6 i 10 dyrektywy 2006/115/WE w sprawie prawa najmu i użyczenia oraz niektórych praw pokrewnych prawu autorskiemu w zakresie własności intelektualnej, art. 6 i 9 dyrektywy 96/9/WE w sprawie ochrony prawnej baz danych,  art. 5 dyrektywy 2001/29/WE.</w:t>
      </w:r>
    </w:p>
  </w:footnote>
  <w:footnote w:id="19">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 Polsce prawie wszystkie przypadki dozwolonego użytku określone w dyrektywach UE zostały implementowane.</w:t>
      </w:r>
    </w:p>
  </w:footnote>
  <w:footnote w:id="20">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Wyjątkiem jest korzystanie w ramach dozwolonego użytku z utworów osieroconych – por. art. 4 dyrektywy 2012/28/UE.</w:t>
      </w:r>
    </w:p>
  </w:footnote>
  <w:footnote w:id="21">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Art. 6 ust. 3 dyrektywy 2009/24/UE, art. 10 ust. 3 dyrektywy 2006/115/WE, art. 6 ust. 3 dyrektywy 96/9/WE, art. 5 ust. 5 dyrektywy 2001/29/WE.</w:t>
      </w:r>
    </w:p>
  </w:footnote>
  <w:footnote w:id="22">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35 ustawy o prawie autorskim i prawach pokrewnych.</w:t>
      </w:r>
    </w:p>
  </w:footnote>
  <w:footnote w:id="23">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Materiały z dyskusji na Forum Prawa Autorskiego oraz wyniki konsultacji społecznych można znaleźć na stronie internetowej: </w:t>
      </w:r>
      <w:hyperlink r:id="rId3" w:history="1">
        <w:r w:rsidRPr="00692D69">
          <w:rPr>
            <w:rStyle w:val="Hipercze"/>
            <w:rFonts w:ascii="Times New Roman" w:hAnsi="Times New Roman" w:cs="Times New Roman"/>
          </w:rPr>
          <w:t>http://www.prawoautorskie.gov.pl/pages/strona-glowna/zmiany-w-prawie/prawo-autorskie/forum-prawa-autorskiego.php</w:t>
        </w:r>
      </w:hyperlink>
      <w:r w:rsidRPr="00692D69">
        <w:rPr>
          <w:rFonts w:ascii="Times New Roman" w:hAnsi="Times New Roman" w:cs="Times New Roman"/>
        </w:rPr>
        <w:t>.</w:t>
      </w:r>
    </w:p>
  </w:footnote>
  <w:footnote w:id="24">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28 pkt 1 ustawy o prawie autorskim i prawach pokrewnych.</w:t>
      </w:r>
    </w:p>
  </w:footnote>
  <w:footnote w:id="25">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Wprowadzenie w Polsce wynagrodzenia z tytułu wypożyczeń bibliotecznych było przedmiotem dyskusji w ramach Forum Prawa Autorskiego.</w:t>
      </w:r>
    </w:p>
  </w:footnote>
  <w:footnote w:id="26">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28 pkt 2 ustawy o prawie autorskim i prawach pokrewnych.</w:t>
      </w:r>
    </w:p>
  </w:footnote>
  <w:footnote w:id="27">
    <w:p w:rsidR="004E178B" w:rsidRPr="00692D69" w:rsidRDefault="004E178B" w:rsidP="00692D69">
      <w:pPr>
        <w:pStyle w:val="Tekstprzypisudolnego"/>
        <w:jc w:val="both"/>
        <w:rPr>
          <w:rFonts w:ascii="Times New Roman" w:hAnsi="Times New Roman" w:cs="Times New Roman"/>
        </w:rPr>
      </w:pPr>
      <w:r w:rsidRPr="00BF70FF">
        <w:rPr>
          <w:rStyle w:val="Odwoanieprzypisudolnego"/>
          <w:rFonts w:ascii="Times New Roman" w:hAnsi="Times New Roman" w:cs="Times New Roman"/>
        </w:rPr>
        <w:footnoteRef/>
      </w:r>
      <w:r w:rsidRPr="00BF70FF">
        <w:rPr>
          <w:rFonts w:ascii="Times New Roman" w:hAnsi="Times New Roman" w:cs="Times New Roman"/>
        </w:rPr>
        <w:t xml:space="preserve"> Kwestia to została podniesiona w pytaniu prejudycjalnym przed TSUE (sprawa C-117/13 </w:t>
      </w:r>
      <w:proofErr w:type="spellStart"/>
      <w:r w:rsidRPr="00BF70FF">
        <w:rPr>
          <w:rFonts w:ascii="Times New Roman" w:hAnsi="Times New Roman" w:cs="Times New Roman"/>
        </w:rPr>
        <w:t>Technische</w:t>
      </w:r>
      <w:proofErr w:type="spellEnd"/>
      <w:r w:rsidRPr="00BF70FF">
        <w:rPr>
          <w:rFonts w:ascii="Times New Roman" w:hAnsi="Times New Roman" w:cs="Times New Roman"/>
        </w:rPr>
        <w:t xml:space="preserve"> </w:t>
      </w:r>
      <w:proofErr w:type="spellStart"/>
      <w:r w:rsidRPr="00BF70FF">
        <w:rPr>
          <w:rFonts w:ascii="Times New Roman" w:hAnsi="Times New Roman" w:cs="Times New Roman"/>
        </w:rPr>
        <w:t>Universität</w:t>
      </w:r>
      <w:proofErr w:type="spellEnd"/>
      <w:r w:rsidRPr="00BF70FF">
        <w:rPr>
          <w:rFonts w:ascii="Times New Roman" w:hAnsi="Times New Roman" w:cs="Times New Roman"/>
        </w:rPr>
        <w:t xml:space="preserve"> Darmstadt). Sąd niemiecki w tej sprawie pytanie: </w:t>
      </w:r>
      <w:r w:rsidRPr="00BF70FF">
        <w:rPr>
          <w:rFonts w:ascii="Times New Roman" w:hAnsi="Times New Roman" w:cs="Times New Roman"/>
          <w:i/>
        </w:rPr>
        <w:t>Czy zasady zakupu lub licencji w rozumieniu art. 5 ust. 3 lit. n) dyrektywy 2001/29/WE obowiązują w przypadku, gdy właściciel prawa proponuje wymienionym tam instytucjom zawarcie umów licencyjnych o korzystanie z dzieła na odpowiednich warunkach</w:t>
      </w:r>
      <w:r w:rsidRPr="00BF70FF">
        <w:rPr>
          <w:rFonts w:ascii="Times New Roman" w:hAnsi="Times New Roman" w:cs="Times New Roman"/>
        </w:rPr>
        <w:t>?</w:t>
      </w:r>
    </w:p>
  </w:footnote>
  <w:footnote w:id="28">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27 i art. 29 ust. 2-3 ustawy o prawie autorskim i prawach pokrewnych.</w:t>
      </w:r>
    </w:p>
  </w:footnote>
  <w:footnote w:id="29">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33</w:t>
      </w:r>
      <w:r w:rsidRPr="00692D69">
        <w:rPr>
          <w:rFonts w:ascii="Times New Roman" w:hAnsi="Times New Roman" w:cs="Times New Roman"/>
          <w:vertAlign w:val="superscript"/>
        </w:rPr>
        <w:t>1</w:t>
      </w:r>
      <w:r w:rsidRPr="00692D69">
        <w:rPr>
          <w:rFonts w:ascii="Times New Roman" w:hAnsi="Times New Roman" w:cs="Times New Roman"/>
        </w:rPr>
        <w:t xml:space="preserve"> ustawy o prawie autorskim i prawach pokrewnych.</w:t>
      </w:r>
    </w:p>
  </w:footnote>
  <w:footnote w:id="30">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w:t>
      </w:r>
      <w:hyperlink r:id="rId4" w:history="1">
        <w:r w:rsidRPr="00692D69">
          <w:rPr>
            <w:rStyle w:val="Hipercze"/>
            <w:rFonts w:ascii="Times New Roman" w:hAnsi="Times New Roman" w:cs="Times New Roman"/>
          </w:rPr>
          <w:t>http://ec.europa.eu/licences-for-europe-dialogue/en/content/final-plenary-meeting</w:t>
        </w:r>
      </w:hyperlink>
    </w:p>
  </w:footnote>
  <w:footnote w:id="31">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23 ustawy o prawie autorskim i prawach pokrewnych.</w:t>
      </w:r>
    </w:p>
  </w:footnote>
  <w:footnote w:id="32">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20 ustawy o prawie autorskim i prawach pokrewnych.</w:t>
      </w:r>
    </w:p>
  </w:footnote>
  <w:footnote w:id="33">
    <w:p w:rsidR="004E178B" w:rsidRPr="00692D69" w:rsidRDefault="004E178B" w:rsidP="00692D69">
      <w:pPr>
        <w:pStyle w:val="Tekstprzypisudolnego"/>
        <w:jc w:val="both"/>
        <w:rPr>
          <w:rFonts w:ascii="Times New Roman" w:hAnsi="Times New Roman" w:cs="Times New Roman"/>
        </w:rPr>
      </w:pPr>
      <w:r w:rsidRPr="00692D69">
        <w:rPr>
          <w:rStyle w:val="Odwoanieprzypisudolnego"/>
          <w:rFonts w:ascii="Times New Roman" w:hAnsi="Times New Roman" w:cs="Times New Roman"/>
        </w:rPr>
        <w:footnoteRef/>
      </w:r>
      <w:r w:rsidRPr="00692D69">
        <w:rPr>
          <w:rFonts w:ascii="Times New Roman" w:hAnsi="Times New Roman" w:cs="Times New Roman"/>
        </w:rPr>
        <w:t xml:space="preserve"> Por. art. 20</w:t>
      </w:r>
      <w:r w:rsidRPr="00692D69">
        <w:rPr>
          <w:rFonts w:ascii="Times New Roman" w:hAnsi="Times New Roman" w:cs="Times New Roman"/>
          <w:vertAlign w:val="superscript"/>
        </w:rPr>
        <w:t>1</w:t>
      </w:r>
      <w:r w:rsidRPr="00692D69">
        <w:rPr>
          <w:rFonts w:ascii="Times New Roman" w:hAnsi="Times New Roman" w:cs="Times New Roman"/>
        </w:rPr>
        <w:t xml:space="preserve"> ustawy o prawie autorskim i prawach pokrewnych.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8B" w:rsidRDefault="004E178B">
    <w:pPr>
      <w:pStyle w:val="Nagwek"/>
    </w:pPr>
    <w:r>
      <w:rPr>
        <w:noProof/>
        <w:lang w:eastAsia="pl-PL"/>
      </w:rPr>
      <w:drawing>
        <wp:anchor distT="0" distB="0" distL="114300" distR="114300" simplePos="0" relativeHeight="251659264" behindDoc="1" locked="0" layoutInCell="1" allowOverlap="0">
          <wp:simplePos x="0" y="0"/>
          <wp:positionH relativeFrom="column">
            <wp:posOffset>33655</wp:posOffset>
          </wp:positionH>
          <wp:positionV relativeFrom="paragraph">
            <wp:posOffset>26670</wp:posOffset>
          </wp:positionV>
          <wp:extent cx="684530" cy="685800"/>
          <wp:effectExtent l="19050" t="0" r="1270" b="0"/>
          <wp:wrapNone/>
          <wp:docPr id="2" name="Obraz 2" descr="logo_mk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kidn"/>
                  <pic:cNvPicPr>
                    <a:picLocks noChangeAspect="1" noChangeArrowheads="1"/>
                  </pic:cNvPicPr>
                </pic:nvPicPr>
                <pic:blipFill>
                  <a:blip r:embed="rId1"/>
                  <a:srcRect/>
                  <a:stretch>
                    <a:fillRect/>
                  </a:stretch>
                </pic:blipFill>
                <pic:spPr bwMode="auto">
                  <a:xfrm>
                    <a:off x="0" y="0"/>
                    <a:ext cx="684530" cy="685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6B2"/>
    <w:multiLevelType w:val="hybridMultilevel"/>
    <w:tmpl w:val="70DAE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F01285"/>
    <w:multiLevelType w:val="hybridMultilevel"/>
    <w:tmpl w:val="AE58D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C86CDA"/>
    <w:multiLevelType w:val="hybridMultilevel"/>
    <w:tmpl w:val="53FA001C"/>
    <w:lvl w:ilvl="0" w:tplc="7D802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E84C47"/>
    <w:multiLevelType w:val="hybridMultilevel"/>
    <w:tmpl w:val="2E1A2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8D2C64"/>
    <w:multiLevelType w:val="hybridMultilevel"/>
    <w:tmpl w:val="586A6C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9A0F91"/>
    <w:multiLevelType w:val="hybridMultilevel"/>
    <w:tmpl w:val="570CF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5A34AA"/>
    <w:multiLevelType w:val="hybridMultilevel"/>
    <w:tmpl w:val="48E26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10"/>
  <w:displayHorizontalDrawingGridEvery w:val="2"/>
  <w:characterSpacingControl w:val="doNotCompress"/>
  <w:hdrShapeDefaults>
    <o:shapedefaults v:ext="edit" spidmax="3075"/>
  </w:hdrShapeDefaults>
  <w:footnotePr>
    <w:footnote w:id="-1"/>
    <w:footnote w:id="0"/>
  </w:footnotePr>
  <w:endnotePr>
    <w:endnote w:id="-1"/>
    <w:endnote w:id="0"/>
  </w:endnotePr>
  <w:compat/>
  <w:rsids>
    <w:rsidRoot w:val="00BE08F9"/>
    <w:rsid w:val="00001F11"/>
    <w:rsid w:val="000045F9"/>
    <w:rsid w:val="000047C7"/>
    <w:rsid w:val="00005A8C"/>
    <w:rsid w:val="00006707"/>
    <w:rsid w:val="00007012"/>
    <w:rsid w:val="00010B39"/>
    <w:rsid w:val="00011497"/>
    <w:rsid w:val="00013966"/>
    <w:rsid w:val="000209E4"/>
    <w:rsid w:val="00021134"/>
    <w:rsid w:val="00022955"/>
    <w:rsid w:val="00024B6A"/>
    <w:rsid w:val="00024E11"/>
    <w:rsid w:val="00034455"/>
    <w:rsid w:val="0003565F"/>
    <w:rsid w:val="000405A0"/>
    <w:rsid w:val="000423CC"/>
    <w:rsid w:val="00047121"/>
    <w:rsid w:val="00047251"/>
    <w:rsid w:val="000516F0"/>
    <w:rsid w:val="00051E1C"/>
    <w:rsid w:val="00054EF8"/>
    <w:rsid w:val="000550B9"/>
    <w:rsid w:val="000552A7"/>
    <w:rsid w:val="00056E7D"/>
    <w:rsid w:val="00061F02"/>
    <w:rsid w:val="000622FA"/>
    <w:rsid w:val="00063A83"/>
    <w:rsid w:val="00066220"/>
    <w:rsid w:val="00067DD8"/>
    <w:rsid w:val="00070FDC"/>
    <w:rsid w:val="00073D4C"/>
    <w:rsid w:val="0008019A"/>
    <w:rsid w:val="0008174E"/>
    <w:rsid w:val="0008654F"/>
    <w:rsid w:val="000871B1"/>
    <w:rsid w:val="000874DC"/>
    <w:rsid w:val="00087D9D"/>
    <w:rsid w:val="00090D9C"/>
    <w:rsid w:val="0009286E"/>
    <w:rsid w:val="0009627A"/>
    <w:rsid w:val="000974F7"/>
    <w:rsid w:val="000A1562"/>
    <w:rsid w:val="000A5B98"/>
    <w:rsid w:val="000A6E02"/>
    <w:rsid w:val="000A771F"/>
    <w:rsid w:val="000B09C6"/>
    <w:rsid w:val="000B0A16"/>
    <w:rsid w:val="000B1C56"/>
    <w:rsid w:val="000C1948"/>
    <w:rsid w:val="000C385D"/>
    <w:rsid w:val="000C4546"/>
    <w:rsid w:val="000C511A"/>
    <w:rsid w:val="000C7119"/>
    <w:rsid w:val="000D055F"/>
    <w:rsid w:val="000D38A1"/>
    <w:rsid w:val="000D5AD9"/>
    <w:rsid w:val="000D7143"/>
    <w:rsid w:val="000D7FD1"/>
    <w:rsid w:val="000E0E61"/>
    <w:rsid w:val="000E1FB8"/>
    <w:rsid w:val="000E3B01"/>
    <w:rsid w:val="000E4247"/>
    <w:rsid w:val="000E4770"/>
    <w:rsid w:val="000E6146"/>
    <w:rsid w:val="000F2A1A"/>
    <w:rsid w:val="000F3940"/>
    <w:rsid w:val="000F6D35"/>
    <w:rsid w:val="000F6F8C"/>
    <w:rsid w:val="0010331A"/>
    <w:rsid w:val="00111248"/>
    <w:rsid w:val="00111ECB"/>
    <w:rsid w:val="0011549E"/>
    <w:rsid w:val="00121349"/>
    <w:rsid w:val="00125ECB"/>
    <w:rsid w:val="00130BC2"/>
    <w:rsid w:val="001347FE"/>
    <w:rsid w:val="00137E02"/>
    <w:rsid w:val="00141A9C"/>
    <w:rsid w:val="00142E96"/>
    <w:rsid w:val="00143DAB"/>
    <w:rsid w:val="00144533"/>
    <w:rsid w:val="00145EBD"/>
    <w:rsid w:val="0015002C"/>
    <w:rsid w:val="00150556"/>
    <w:rsid w:val="00152510"/>
    <w:rsid w:val="001527EF"/>
    <w:rsid w:val="0016406F"/>
    <w:rsid w:val="001718B6"/>
    <w:rsid w:val="00172C2C"/>
    <w:rsid w:val="001773D5"/>
    <w:rsid w:val="00177B25"/>
    <w:rsid w:val="00182259"/>
    <w:rsid w:val="00182B4E"/>
    <w:rsid w:val="001853F6"/>
    <w:rsid w:val="00192C8B"/>
    <w:rsid w:val="00194FB8"/>
    <w:rsid w:val="001A0682"/>
    <w:rsid w:val="001A0B35"/>
    <w:rsid w:val="001A1045"/>
    <w:rsid w:val="001A38F5"/>
    <w:rsid w:val="001A3D4C"/>
    <w:rsid w:val="001A4A08"/>
    <w:rsid w:val="001A4D1B"/>
    <w:rsid w:val="001A4D2A"/>
    <w:rsid w:val="001A6725"/>
    <w:rsid w:val="001A7F02"/>
    <w:rsid w:val="001B6886"/>
    <w:rsid w:val="001C2214"/>
    <w:rsid w:val="001C397E"/>
    <w:rsid w:val="001C3CCB"/>
    <w:rsid w:val="001C5C42"/>
    <w:rsid w:val="001C5D9A"/>
    <w:rsid w:val="001C6E37"/>
    <w:rsid w:val="001C7B58"/>
    <w:rsid w:val="001D4CDA"/>
    <w:rsid w:val="001D5999"/>
    <w:rsid w:val="001E19B3"/>
    <w:rsid w:val="001E4406"/>
    <w:rsid w:val="001E462C"/>
    <w:rsid w:val="001E6B0A"/>
    <w:rsid w:val="001E7215"/>
    <w:rsid w:val="001F5F38"/>
    <w:rsid w:val="00201892"/>
    <w:rsid w:val="0020202D"/>
    <w:rsid w:val="0020534F"/>
    <w:rsid w:val="002110E9"/>
    <w:rsid w:val="00211377"/>
    <w:rsid w:val="00211487"/>
    <w:rsid w:val="00216CB2"/>
    <w:rsid w:val="00217237"/>
    <w:rsid w:val="002178D3"/>
    <w:rsid w:val="0022388B"/>
    <w:rsid w:val="00224B42"/>
    <w:rsid w:val="00226589"/>
    <w:rsid w:val="00227EBC"/>
    <w:rsid w:val="00233DC8"/>
    <w:rsid w:val="0023409A"/>
    <w:rsid w:val="00235962"/>
    <w:rsid w:val="002410CF"/>
    <w:rsid w:val="00252FE2"/>
    <w:rsid w:val="00255649"/>
    <w:rsid w:val="00263A7A"/>
    <w:rsid w:val="00265CBB"/>
    <w:rsid w:val="00266533"/>
    <w:rsid w:val="002678B0"/>
    <w:rsid w:val="002708CF"/>
    <w:rsid w:val="0027492B"/>
    <w:rsid w:val="00275B48"/>
    <w:rsid w:val="002854E6"/>
    <w:rsid w:val="00286ED2"/>
    <w:rsid w:val="00287894"/>
    <w:rsid w:val="00293EBF"/>
    <w:rsid w:val="0029530D"/>
    <w:rsid w:val="00295E1F"/>
    <w:rsid w:val="002A114F"/>
    <w:rsid w:val="002A2338"/>
    <w:rsid w:val="002A3095"/>
    <w:rsid w:val="002A396F"/>
    <w:rsid w:val="002A4278"/>
    <w:rsid w:val="002A6439"/>
    <w:rsid w:val="002A7ECE"/>
    <w:rsid w:val="002B75CA"/>
    <w:rsid w:val="002B7DBB"/>
    <w:rsid w:val="002B7F77"/>
    <w:rsid w:val="002B7F90"/>
    <w:rsid w:val="002C32D8"/>
    <w:rsid w:val="002C5644"/>
    <w:rsid w:val="002C5B36"/>
    <w:rsid w:val="002C6702"/>
    <w:rsid w:val="002D13C2"/>
    <w:rsid w:val="002D2EF4"/>
    <w:rsid w:val="002D3514"/>
    <w:rsid w:val="002D373B"/>
    <w:rsid w:val="002D5CE1"/>
    <w:rsid w:val="002D5CF3"/>
    <w:rsid w:val="002E0834"/>
    <w:rsid w:val="002E4BC6"/>
    <w:rsid w:val="002E5A63"/>
    <w:rsid w:val="002E65D1"/>
    <w:rsid w:val="002F0224"/>
    <w:rsid w:val="002F0D10"/>
    <w:rsid w:val="002F2100"/>
    <w:rsid w:val="002F3B53"/>
    <w:rsid w:val="002F49A8"/>
    <w:rsid w:val="003025BA"/>
    <w:rsid w:val="00303429"/>
    <w:rsid w:val="0030469D"/>
    <w:rsid w:val="003046F7"/>
    <w:rsid w:val="003072E7"/>
    <w:rsid w:val="003122A8"/>
    <w:rsid w:val="00320533"/>
    <w:rsid w:val="00321362"/>
    <w:rsid w:val="00324CA9"/>
    <w:rsid w:val="00324FE1"/>
    <w:rsid w:val="00327209"/>
    <w:rsid w:val="00333ABA"/>
    <w:rsid w:val="00336A81"/>
    <w:rsid w:val="003379BC"/>
    <w:rsid w:val="00337F09"/>
    <w:rsid w:val="003428D9"/>
    <w:rsid w:val="00343614"/>
    <w:rsid w:val="00345AC1"/>
    <w:rsid w:val="003502FC"/>
    <w:rsid w:val="00352B65"/>
    <w:rsid w:val="003546FD"/>
    <w:rsid w:val="003552C3"/>
    <w:rsid w:val="003578F6"/>
    <w:rsid w:val="003607DD"/>
    <w:rsid w:val="003621DB"/>
    <w:rsid w:val="003623E3"/>
    <w:rsid w:val="00363089"/>
    <w:rsid w:val="003638A8"/>
    <w:rsid w:val="003642FB"/>
    <w:rsid w:val="00366788"/>
    <w:rsid w:val="003668B8"/>
    <w:rsid w:val="00366B6F"/>
    <w:rsid w:val="00374F02"/>
    <w:rsid w:val="003838C6"/>
    <w:rsid w:val="00383FB3"/>
    <w:rsid w:val="0038660C"/>
    <w:rsid w:val="00387AFE"/>
    <w:rsid w:val="00390FDF"/>
    <w:rsid w:val="0039278C"/>
    <w:rsid w:val="003A0264"/>
    <w:rsid w:val="003A1FD5"/>
    <w:rsid w:val="003A3129"/>
    <w:rsid w:val="003B1012"/>
    <w:rsid w:val="003B1497"/>
    <w:rsid w:val="003B4426"/>
    <w:rsid w:val="003B46C5"/>
    <w:rsid w:val="003B470E"/>
    <w:rsid w:val="003B707F"/>
    <w:rsid w:val="003C187B"/>
    <w:rsid w:val="003C32D7"/>
    <w:rsid w:val="003C4E7F"/>
    <w:rsid w:val="003C50ED"/>
    <w:rsid w:val="003D1244"/>
    <w:rsid w:val="003D1D85"/>
    <w:rsid w:val="003D2151"/>
    <w:rsid w:val="003D21B9"/>
    <w:rsid w:val="003D60AC"/>
    <w:rsid w:val="003E097D"/>
    <w:rsid w:val="003E53FC"/>
    <w:rsid w:val="003E59C5"/>
    <w:rsid w:val="003E5CE0"/>
    <w:rsid w:val="003E743B"/>
    <w:rsid w:val="003F6A82"/>
    <w:rsid w:val="003F6E48"/>
    <w:rsid w:val="003F720C"/>
    <w:rsid w:val="00404D07"/>
    <w:rsid w:val="004112F9"/>
    <w:rsid w:val="004209A7"/>
    <w:rsid w:val="00422962"/>
    <w:rsid w:val="00425C85"/>
    <w:rsid w:val="00440212"/>
    <w:rsid w:val="004444C8"/>
    <w:rsid w:val="00446E14"/>
    <w:rsid w:val="00451077"/>
    <w:rsid w:val="00453E8B"/>
    <w:rsid w:val="00457980"/>
    <w:rsid w:val="00460F7D"/>
    <w:rsid w:val="00461A0D"/>
    <w:rsid w:val="00464605"/>
    <w:rsid w:val="00472136"/>
    <w:rsid w:val="00477460"/>
    <w:rsid w:val="00483681"/>
    <w:rsid w:val="00483F55"/>
    <w:rsid w:val="00484ECA"/>
    <w:rsid w:val="00492419"/>
    <w:rsid w:val="0049340F"/>
    <w:rsid w:val="0049768C"/>
    <w:rsid w:val="004A0496"/>
    <w:rsid w:val="004A0573"/>
    <w:rsid w:val="004A08D6"/>
    <w:rsid w:val="004A20AF"/>
    <w:rsid w:val="004A26E6"/>
    <w:rsid w:val="004A4667"/>
    <w:rsid w:val="004A626F"/>
    <w:rsid w:val="004A6919"/>
    <w:rsid w:val="004A7A4A"/>
    <w:rsid w:val="004B16EC"/>
    <w:rsid w:val="004B494A"/>
    <w:rsid w:val="004B526A"/>
    <w:rsid w:val="004B6DD8"/>
    <w:rsid w:val="004C1EA2"/>
    <w:rsid w:val="004C276F"/>
    <w:rsid w:val="004C2CB8"/>
    <w:rsid w:val="004C317D"/>
    <w:rsid w:val="004C6454"/>
    <w:rsid w:val="004C7E16"/>
    <w:rsid w:val="004C7F32"/>
    <w:rsid w:val="004D3DD4"/>
    <w:rsid w:val="004D461E"/>
    <w:rsid w:val="004D5026"/>
    <w:rsid w:val="004D59FB"/>
    <w:rsid w:val="004E0D91"/>
    <w:rsid w:val="004E178B"/>
    <w:rsid w:val="004E792A"/>
    <w:rsid w:val="004F5F70"/>
    <w:rsid w:val="004F7E80"/>
    <w:rsid w:val="00500F55"/>
    <w:rsid w:val="00510B79"/>
    <w:rsid w:val="00512F06"/>
    <w:rsid w:val="005132AF"/>
    <w:rsid w:val="0051707A"/>
    <w:rsid w:val="00521056"/>
    <w:rsid w:val="0052191A"/>
    <w:rsid w:val="00526D8D"/>
    <w:rsid w:val="0053035F"/>
    <w:rsid w:val="005304B8"/>
    <w:rsid w:val="0053092E"/>
    <w:rsid w:val="00531509"/>
    <w:rsid w:val="00533D01"/>
    <w:rsid w:val="0054476B"/>
    <w:rsid w:val="00544781"/>
    <w:rsid w:val="00554CDE"/>
    <w:rsid w:val="00556330"/>
    <w:rsid w:val="00556DD2"/>
    <w:rsid w:val="00557912"/>
    <w:rsid w:val="005612E2"/>
    <w:rsid w:val="005630CD"/>
    <w:rsid w:val="0056391D"/>
    <w:rsid w:val="00565F5E"/>
    <w:rsid w:val="00573ED4"/>
    <w:rsid w:val="00576147"/>
    <w:rsid w:val="00577408"/>
    <w:rsid w:val="0058171A"/>
    <w:rsid w:val="0058421F"/>
    <w:rsid w:val="00584C28"/>
    <w:rsid w:val="00585049"/>
    <w:rsid w:val="00585D7D"/>
    <w:rsid w:val="00586F13"/>
    <w:rsid w:val="00587C31"/>
    <w:rsid w:val="005905F9"/>
    <w:rsid w:val="00590716"/>
    <w:rsid w:val="005A6CCB"/>
    <w:rsid w:val="005B1639"/>
    <w:rsid w:val="005B341C"/>
    <w:rsid w:val="005B7F81"/>
    <w:rsid w:val="005C0296"/>
    <w:rsid w:val="005C141B"/>
    <w:rsid w:val="005C27A1"/>
    <w:rsid w:val="005C45EF"/>
    <w:rsid w:val="005C4C98"/>
    <w:rsid w:val="005C5182"/>
    <w:rsid w:val="005C66E9"/>
    <w:rsid w:val="005C7917"/>
    <w:rsid w:val="005D0B66"/>
    <w:rsid w:val="005D0BC5"/>
    <w:rsid w:val="005D1065"/>
    <w:rsid w:val="005D1E53"/>
    <w:rsid w:val="005D6414"/>
    <w:rsid w:val="005D7F2C"/>
    <w:rsid w:val="005E2698"/>
    <w:rsid w:val="005E3FA1"/>
    <w:rsid w:val="005F0857"/>
    <w:rsid w:val="005F6062"/>
    <w:rsid w:val="005F6724"/>
    <w:rsid w:val="00602460"/>
    <w:rsid w:val="00603D73"/>
    <w:rsid w:val="00607710"/>
    <w:rsid w:val="00612FCE"/>
    <w:rsid w:val="00620CDB"/>
    <w:rsid w:val="006225C3"/>
    <w:rsid w:val="00626526"/>
    <w:rsid w:val="0063060A"/>
    <w:rsid w:val="006306A7"/>
    <w:rsid w:val="00632580"/>
    <w:rsid w:val="006347E3"/>
    <w:rsid w:val="00635335"/>
    <w:rsid w:val="00636751"/>
    <w:rsid w:val="006377E7"/>
    <w:rsid w:val="00641AE4"/>
    <w:rsid w:val="0064575B"/>
    <w:rsid w:val="00646111"/>
    <w:rsid w:val="00650AC8"/>
    <w:rsid w:val="0065119B"/>
    <w:rsid w:val="00657035"/>
    <w:rsid w:val="00664AED"/>
    <w:rsid w:val="00666917"/>
    <w:rsid w:val="00666D05"/>
    <w:rsid w:val="006715C4"/>
    <w:rsid w:val="0067359B"/>
    <w:rsid w:val="00681FC7"/>
    <w:rsid w:val="00683986"/>
    <w:rsid w:val="006839CA"/>
    <w:rsid w:val="00683DC4"/>
    <w:rsid w:val="006852A7"/>
    <w:rsid w:val="006868CF"/>
    <w:rsid w:val="00686D0F"/>
    <w:rsid w:val="00690167"/>
    <w:rsid w:val="00690EA8"/>
    <w:rsid w:val="00692D69"/>
    <w:rsid w:val="006954FF"/>
    <w:rsid w:val="00697619"/>
    <w:rsid w:val="00697AF5"/>
    <w:rsid w:val="006A201B"/>
    <w:rsid w:val="006A28B5"/>
    <w:rsid w:val="006A2F2C"/>
    <w:rsid w:val="006A34B9"/>
    <w:rsid w:val="006A45F0"/>
    <w:rsid w:val="006A475E"/>
    <w:rsid w:val="006B22C7"/>
    <w:rsid w:val="006B3DBD"/>
    <w:rsid w:val="006B4FA9"/>
    <w:rsid w:val="006B58CE"/>
    <w:rsid w:val="006B6A2A"/>
    <w:rsid w:val="006B6FFC"/>
    <w:rsid w:val="006C1207"/>
    <w:rsid w:val="006C274B"/>
    <w:rsid w:val="006C33FB"/>
    <w:rsid w:val="006C43B0"/>
    <w:rsid w:val="006C67EA"/>
    <w:rsid w:val="006C7EA1"/>
    <w:rsid w:val="006D19BF"/>
    <w:rsid w:val="006D352D"/>
    <w:rsid w:val="006D4A71"/>
    <w:rsid w:val="006D4DB5"/>
    <w:rsid w:val="006D5891"/>
    <w:rsid w:val="006E3C97"/>
    <w:rsid w:val="006E4DF7"/>
    <w:rsid w:val="006E5683"/>
    <w:rsid w:val="006E5748"/>
    <w:rsid w:val="006E6586"/>
    <w:rsid w:val="006E6E7D"/>
    <w:rsid w:val="006E7B22"/>
    <w:rsid w:val="006F441B"/>
    <w:rsid w:val="006F6B77"/>
    <w:rsid w:val="006F7FB2"/>
    <w:rsid w:val="00700ECD"/>
    <w:rsid w:val="00705D71"/>
    <w:rsid w:val="00706869"/>
    <w:rsid w:val="00707346"/>
    <w:rsid w:val="00711BAE"/>
    <w:rsid w:val="00712D2D"/>
    <w:rsid w:val="0071469E"/>
    <w:rsid w:val="007156DF"/>
    <w:rsid w:val="00717621"/>
    <w:rsid w:val="007219CD"/>
    <w:rsid w:val="0072449D"/>
    <w:rsid w:val="00726A6D"/>
    <w:rsid w:val="00731939"/>
    <w:rsid w:val="00733070"/>
    <w:rsid w:val="00734B7B"/>
    <w:rsid w:val="00737C6F"/>
    <w:rsid w:val="00745B08"/>
    <w:rsid w:val="00746621"/>
    <w:rsid w:val="0075148C"/>
    <w:rsid w:val="007528E0"/>
    <w:rsid w:val="00753AC5"/>
    <w:rsid w:val="00754DA1"/>
    <w:rsid w:val="007559F8"/>
    <w:rsid w:val="00762951"/>
    <w:rsid w:val="00762F61"/>
    <w:rsid w:val="00763F77"/>
    <w:rsid w:val="00766C6E"/>
    <w:rsid w:val="0077213D"/>
    <w:rsid w:val="00775773"/>
    <w:rsid w:val="00777FEF"/>
    <w:rsid w:val="00783C4E"/>
    <w:rsid w:val="00783EF7"/>
    <w:rsid w:val="007843D1"/>
    <w:rsid w:val="0078658C"/>
    <w:rsid w:val="00794834"/>
    <w:rsid w:val="007968C5"/>
    <w:rsid w:val="007A1751"/>
    <w:rsid w:val="007A5525"/>
    <w:rsid w:val="007A7827"/>
    <w:rsid w:val="007B2719"/>
    <w:rsid w:val="007B6EDF"/>
    <w:rsid w:val="007C2786"/>
    <w:rsid w:val="007C2B56"/>
    <w:rsid w:val="007C6256"/>
    <w:rsid w:val="007C6641"/>
    <w:rsid w:val="007C6A7B"/>
    <w:rsid w:val="007D31D9"/>
    <w:rsid w:val="007D3287"/>
    <w:rsid w:val="007D4F0F"/>
    <w:rsid w:val="007D670B"/>
    <w:rsid w:val="007E22E1"/>
    <w:rsid w:val="007E4D24"/>
    <w:rsid w:val="007E4EF7"/>
    <w:rsid w:val="007E6920"/>
    <w:rsid w:val="007E6FE8"/>
    <w:rsid w:val="007F0232"/>
    <w:rsid w:val="007F120E"/>
    <w:rsid w:val="007F1C49"/>
    <w:rsid w:val="007F1D23"/>
    <w:rsid w:val="007F1D9E"/>
    <w:rsid w:val="007F406C"/>
    <w:rsid w:val="00800B09"/>
    <w:rsid w:val="00800E70"/>
    <w:rsid w:val="00801F1C"/>
    <w:rsid w:val="00803E58"/>
    <w:rsid w:val="00806DE6"/>
    <w:rsid w:val="00817F17"/>
    <w:rsid w:val="00821872"/>
    <w:rsid w:val="008219A7"/>
    <w:rsid w:val="00822CF4"/>
    <w:rsid w:val="00823430"/>
    <w:rsid w:val="00825446"/>
    <w:rsid w:val="00831BF7"/>
    <w:rsid w:val="00834382"/>
    <w:rsid w:val="008370C4"/>
    <w:rsid w:val="00840122"/>
    <w:rsid w:val="008423ED"/>
    <w:rsid w:val="00844993"/>
    <w:rsid w:val="00847A21"/>
    <w:rsid w:val="00850CE0"/>
    <w:rsid w:val="00851DC6"/>
    <w:rsid w:val="0085325A"/>
    <w:rsid w:val="0085781D"/>
    <w:rsid w:val="00861109"/>
    <w:rsid w:val="00861528"/>
    <w:rsid w:val="0086281D"/>
    <w:rsid w:val="00863955"/>
    <w:rsid w:val="00863EE4"/>
    <w:rsid w:val="00864015"/>
    <w:rsid w:val="00865015"/>
    <w:rsid w:val="00867607"/>
    <w:rsid w:val="00867D44"/>
    <w:rsid w:val="008707E3"/>
    <w:rsid w:val="00871674"/>
    <w:rsid w:val="00871D1F"/>
    <w:rsid w:val="00873B02"/>
    <w:rsid w:val="00874DD8"/>
    <w:rsid w:val="00876EA9"/>
    <w:rsid w:val="0088020B"/>
    <w:rsid w:val="00880593"/>
    <w:rsid w:val="00881303"/>
    <w:rsid w:val="00883643"/>
    <w:rsid w:val="00883E51"/>
    <w:rsid w:val="00884BC6"/>
    <w:rsid w:val="00890E77"/>
    <w:rsid w:val="0089426F"/>
    <w:rsid w:val="008A0BB8"/>
    <w:rsid w:val="008A167A"/>
    <w:rsid w:val="008A249A"/>
    <w:rsid w:val="008A2D4A"/>
    <w:rsid w:val="008A39B8"/>
    <w:rsid w:val="008A4F40"/>
    <w:rsid w:val="008A5F75"/>
    <w:rsid w:val="008B0C1F"/>
    <w:rsid w:val="008B13EC"/>
    <w:rsid w:val="008B233F"/>
    <w:rsid w:val="008B282E"/>
    <w:rsid w:val="008B6F70"/>
    <w:rsid w:val="008C1288"/>
    <w:rsid w:val="008C5A0F"/>
    <w:rsid w:val="008C65EB"/>
    <w:rsid w:val="008D0A3D"/>
    <w:rsid w:val="008D3257"/>
    <w:rsid w:val="008D40E6"/>
    <w:rsid w:val="008D4191"/>
    <w:rsid w:val="008D43F1"/>
    <w:rsid w:val="008D6DCC"/>
    <w:rsid w:val="008E18F0"/>
    <w:rsid w:val="008E37B2"/>
    <w:rsid w:val="008E399A"/>
    <w:rsid w:val="008E6CD5"/>
    <w:rsid w:val="008F019A"/>
    <w:rsid w:val="008F0910"/>
    <w:rsid w:val="008F1548"/>
    <w:rsid w:val="008F3AE1"/>
    <w:rsid w:val="008F4DA1"/>
    <w:rsid w:val="008F5D0A"/>
    <w:rsid w:val="008F701A"/>
    <w:rsid w:val="008F7BCB"/>
    <w:rsid w:val="008F7C5E"/>
    <w:rsid w:val="009012E9"/>
    <w:rsid w:val="009014D5"/>
    <w:rsid w:val="009048FE"/>
    <w:rsid w:val="00905B2E"/>
    <w:rsid w:val="009062D5"/>
    <w:rsid w:val="009131F4"/>
    <w:rsid w:val="0091424F"/>
    <w:rsid w:val="00917453"/>
    <w:rsid w:val="009174EE"/>
    <w:rsid w:val="0091773B"/>
    <w:rsid w:val="009179F1"/>
    <w:rsid w:val="009215AB"/>
    <w:rsid w:val="00924383"/>
    <w:rsid w:val="0093312F"/>
    <w:rsid w:val="00933207"/>
    <w:rsid w:val="009340BD"/>
    <w:rsid w:val="009342ED"/>
    <w:rsid w:val="009353FE"/>
    <w:rsid w:val="00936A61"/>
    <w:rsid w:val="009374DE"/>
    <w:rsid w:val="00940499"/>
    <w:rsid w:val="00941B3F"/>
    <w:rsid w:val="009433BE"/>
    <w:rsid w:val="009438DE"/>
    <w:rsid w:val="00946F21"/>
    <w:rsid w:val="00947FEE"/>
    <w:rsid w:val="00950868"/>
    <w:rsid w:val="00952624"/>
    <w:rsid w:val="00953EAC"/>
    <w:rsid w:val="00954245"/>
    <w:rsid w:val="00955899"/>
    <w:rsid w:val="00961111"/>
    <w:rsid w:val="00962A48"/>
    <w:rsid w:val="0096535D"/>
    <w:rsid w:val="00966A75"/>
    <w:rsid w:val="00967309"/>
    <w:rsid w:val="00970227"/>
    <w:rsid w:val="00972226"/>
    <w:rsid w:val="00972D34"/>
    <w:rsid w:val="009752AF"/>
    <w:rsid w:val="0097736B"/>
    <w:rsid w:val="00981EB7"/>
    <w:rsid w:val="00982FBE"/>
    <w:rsid w:val="0098306A"/>
    <w:rsid w:val="00984DBD"/>
    <w:rsid w:val="0098607A"/>
    <w:rsid w:val="009903CB"/>
    <w:rsid w:val="00993C2D"/>
    <w:rsid w:val="009943C4"/>
    <w:rsid w:val="00994588"/>
    <w:rsid w:val="00996A74"/>
    <w:rsid w:val="00996C06"/>
    <w:rsid w:val="00996CD5"/>
    <w:rsid w:val="00996D6A"/>
    <w:rsid w:val="009A259D"/>
    <w:rsid w:val="009A4B7A"/>
    <w:rsid w:val="009B05E3"/>
    <w:rsid w:val="009B2459"/>
    <w:rsid w:val="009B35D1"/>
    <w:rsid w:val="009B4B04"/>
    <w:rsid w:val="009B5CC1"/>
    <w:rsid w:val="009B7A0A"/>
    <w:rsid w:val="009C123E"/>
    <w:rsid w:val="009C3FF4"/>
    <w:rsid w:val="009C746B"/>
    <w:rsid w:val="009D10F6"/>
    <w:rsid w:val="009D58D5"/>
    <w:rsid w:val="009D797D"/>
    <w:rsid w:val="009E090D"/>
    <w:rsid w:val="009E0FB6"/>
    <w:rsid w:val="009E522C"/>
    <w:rsid w:val="009F2F29"/>
    <w:rsid w:val="009F4598"/>
    <w:rsid w:val="009F5FAC"/>
    <w:rsid w:val="009F728C"/>
    <w:rsid w:val="00A048D6"/>
    <w:rsid w:val="00A06B6F"/>
    <w:rsid w:val="00A1077A"/>
    <w:rsid w:val="00A11FEF"/>
    <w:rsid w:val="00A12E2D"/>
    <w:rsid w:val="00A1567C"/>
    <w:rsid w:val="00A16842"/>
    <w:rsid w:val="00A173E2"/>
    <w:rsid w:val="00A1759E"/>
    <w:rsid w:val="00A17A5D"/>
    <w:rsid w:val="00A17CEA"/>
    <w:rsid w:val="00A17D80"/>
    <w:rsid w:val="00A2146D"/>
    <w:rsid w:val="00A22316"/>
    <w:rsid w:val="00A26B97"/>
    <w:rsid w:val="00A26BA6"/>
    <w:rsid w:val="00A26FA6"/>
    <w:rsid w:val="00A27A40"/>
    <w:rsid w:val="00A34E10"/>
    <w:rsid w:val="00A354A2"/>
    <w:rsid w:val="00A4091E"/>
    <w:rsid w:val="00A42934"/>
    <w:rsid w:val="00A42A15"/>
    <w:rsid w:val="00A44609"/>
    <w:rsid w:val="00A513E8"/>
    <w:rsid w:val="00A51EEB"/>
    <w:rsid w:val="00A54B77"/>
    <w:rsid w:val="00A57269"/>
    <w:rsid w:val="00A60CE9"/>
    <w:rsid w:val="00A62680"/>
    <w:rsid w:val="00A62989"/>
    <w:rsid w:val="00A640DB"/>
    <w:rsid w:val="00A64874"/>
    <w:rsid w:val="00A72190"/>
    <w:rsid w:val="00A72224"/>
    <w:rsid w:val="00A72EEA"/>
    <w:rsid w:val="00A76B5B"/>
    <w:rsid w:val="00A77661"/>
    <w:rsid w:val="00A8116B"/>
    <w:rsid w:val="00A81307"/>
    <w:rsid w:val="00A836EB"/>
    <w:rsid w:val="00A84489"/>
    <w:rsid w:val="00A9173B"/>
    <w:rsid w:val="00A9184E"/>
    <w:rsid w:val="00A92AB2"/>
    <w:rsid w:val="00A95D68"/>
    <w:rsid w:val="00A961B4"/>
    <w:rsid w:val="00A9688B"/>
    <w:rsid w:val="00A96BCE"/>
    <w:rsid w:val="00AA3716"/>
    <w:rsid w:val="00AA42BD"/>
    <w:rsid w:val="00AA567A"/>
    <w:rsid w:val="00AA5988"/>
    <w:rsid w:val="00AA5AC2"/>
    <w:rsid w:val="00AA63E7"/>
    <w:rsid w:val="00AB0D11"/>
    <w:rsid w:val="00AB18A2"/>
    <w:rsid w:val="00AB3082"/>
    <w:rsid w:val="00AB3864"/>
    <w:rsid w:val="00AB5B9C"/>
    <w:rsid w:val="00AC03E6"/>
    <w:rsid w:val="00AC130F"/>
    <w:rsid w:val="00AC131F"/>
    <w:rsid w:val="00AC251E"/>
    <w:rsid w:val="00AC3D2D"/>
    <w:rsid w:val="00AC3F75"/>
    <w:rsid w:val="00AC535A"/>
    <w:rsid w:val="00AC6493"/>
    <w:rsid w:val="00AD2236"/>
    <w:rsid w:val="00AD3CC7"/>
    <w:rsid w:val="00AD3EE0"/>
    <w:rsid w:val="00AD5520"/>
    <w:rsid w:val="00AD75C5"/>
    <w:rsid w:val="00AE0EC9"/>
    <w:rsid w:val="00AE24A5"/>
    <w:rsid w:val="00AE310F"/>
    <w:rsid w:val="00AE413D"/>
    <w:rsid w:val="00AE5FA5"/>
    <w:rsid w:val="00AE6EB6"/>
    <w:rsid w:val="00AE7D90"/>
    <w:rsid w:val="00AF3242"/>
    <w:rsid w:val="00AF6090"/>
    <w:rsid w:val="00AF751F"/>
    <w:rsid w:val="00AF7999"/>
    <w:rsid w:val="00B00A1C"/>
    <w:rsid w:val="00B00C11"/>
    <w:rsid w:val="00B01E7C"/>
    <w:rsid w:val="00B045A4"/>
    <w:rsid w:val="00B047B2"/>
    <w:rsid w:val="00B047D8"/>
    <w:rsid w:val="00B04A47"/>
    <w:rsid w:val="00B04E29"/>
    <w:rsid w:val="00B07F1F"/>
    <w:rsid w:val="00B07FCE"/>
    <w:rsid w:val="00B1383B"/>
    <w:rsid w:val="00B1461B"/>
    <w:rsid w:val="00B210BA"/>
    <w:rsid w:val="00B2403D"/>
    <w:rsid w:val="00B245EE"/>
    <w:rsid w:val="00B303C0"/>
    <w:rsid w:val="00B35322"/>
    <w:rsid w:val="00B35B10"/>
    <w:rsid w:val="00B35B48"/>
    <w:rsid w:val="00B379DD"/>
    <w:rsid w:val="00B57B85"/>
    <w:rsid w:val="00B60260"/>
    <w:rsid w:val="00B65234"/>
    <w:rsid w:val="00B677A4"/>
    <w:rsid w:val="00B71031"/>
    <w:rsid w:val="00B755E2"/>
    <w:rsid w:val="00B75D57"/>
    <w:rsid w:val="00B7648A"/>
    <w:rsid w:val="00B818D1"/>
    <w:rsid w:val="00B830A2"/>
    <w:rsid w:val="00B9052A"/>
    <w:rsid w:val="00B90D85"/>
    <w:rsid w:val="00B92F21"/>
    <w:rsid w:val="00B92F3A"/>
    <w:rsid w:val="00B94F32"/>
    <w:rsid w:val="00B955C2"/>
    <w:rsid w:val="00BA5FBF"/>
    <w:rsid w:val="00BA62AB"/>
    <w:rsid w:val="00BA7038"/>
    <w:rsid w:val="00BB0D4A"/>
    <w:rsid w:val="00BB12F3"/>
    <w:rsid w:val="00BB2D6B"/>
    <w:rsid w:val="00BB38F1"/>
    <w:rsid w:val="00BB3C7B"/>
    <w:rsid w:val="00BB43FD"/>
    <w:rsid w:val="00BB4507"/>
    <w:rsid w:val="00BB6883"/>
    <w:rsid w:val="00BC58C7"/>
    <w:rsid w:val="00BC63F7"/>
    <w:rsid w:val="00BD191C"/>
    <w:rsid w:val="00BD6448"/>
    <w:rsid w:val="00BD6AA6"/>
    <w:rsid w:val="00BE08F9"/>
    <w:rsid w:val="00BE0937"/>
    <w:rsid w:val="00BE0DA2"/>
    <w:rsid w:val="00BE13A9"/>
    <w:rsid w:val="00BE1BA6"/>
    <w:rsid w:val="00BE3180"/>
    <w:rsid w:val="00BE64E7"/>
    <w:rsid w:val="00BE7DE8"/>
    <w:rsid w:val="00BF5A7E"/>
    <w:rsid w:val="00BF60E2"/>
    <w:rsid w:val="00BF70FF"/>
    <w:rsid w:val="00C01B76"/>
    <w:rsid w:val="00C02885"/>
    <w:rsid w:val="00C0489F"/>
    <w:rsid w:val="00C06CED"/>
    <w:rsid w:val="00C10FB4"/>
    <w:rsid w:val="00C12EB0"/>
    <w:rsid w:val="00C14FE6"/>
    <w:rsid w:val="00C15275"/>
    <w:rsid w:val="00C16FB1"/>
    <w:rsid w:val="00C213A8"/>
    <w:rsid w:val="00C23809"/>
    <w:rsid w:val="00C238F7"/>
    <w:rsid w:val="00C32C4D"/>
    <w:rsid w:val="00C347A8"/>
    <w:rsid w:val="00C42E9D"/>
    <w:rsid w:val="00C455FA"/>
    <w:rsid w:val="00C50859"/>
    <w:rsid w:val="00C51CEC"/>
    <w:rsid w:val="00C536EA"/>
    <w:rsid w:val="00C60029"/>
    <w:rsid w:val="00C7207D"/>
    <w:rsid w:val="00C815B6"/>
    <w:rsid w:val="00C82035"/>
    <w:rsid w:val="00C8378D"/>
    <w:rsid w:val="00C841AC"/>
    <w:rsid w:val="00C84F69"/>
    <w:rsid w:val="00C87074"/>
    <w:rsid w:val="00C873C6"/>
    <w:rsid w:val="00C9059D"/>
    <w:rsid w:val="00C920E9"/>
    <w:rsid w:val="00C92936"/>
    <w:rsid w:val="00C94513"/>
    <w:rsid w:val="00C95E3D"/>
    <w:rsid w:val="00C96EEC"/>
    <w:rsid w:val="00C97489"/>
    <w:rsid w:val="00CA02BC"/>
    <w:rsid w:val="00CA7B29"/>
    <w:rsid w:val="00CB0083"/>
    <w:rsid w:val="00CB4353"/>
    <w:rsid w:val="00CB603B"/>
    <w:rsid w:val="00CB775D"/>
    <w:rsid w:val="00CC1755"/>
    <w:rsid w:val="00CC180D"/>
    <w:rsid w:val="00CC4548"/>
    <w:rsid w:val="00CC4BCB"/>
    <w:rsid w:val="00CC7983"/>
    <w:rsid w:val="00CD5BC4"/>
    <w:rsid w:val="00CE0D0A"/>
    <w:rsid w:val="00CE183C"/>
    <w:rsid w:val="00CE5B07"/>
    <w:rsid w:val="00CF2B57"/>
    <w:rsid w:val="00CF2C48"/>
    <w:rsid w:val="00CF338C"/>
    <w:rsid w:val="00CF4C5F"/>
    <w:rsid w:val="00CF7450"/>
    <w:rsid w:val="00CF7D53"/>
    <w:rsid w:val="00D02687"/>
    <w:rsid w:val="00D04346"/>
    <w:rsid w:val="00D07902"/>
    <w:rsid w:val="00D13F0F"/>
    <w:rsid w:val="00D16360"/>
    <w:rsid w:val="00D20804"/>
    <w:rsid w:val="00D21668"/>
    <w:rsid w:val="00D230FE"/>
    <w:rsid w:val="00D23AE7"/>
    <w:rsid w:val="00D2491F"/>
    <w:rsid w:val="00D2693C"/>
    <w:rsid w:val="00D27BB3"/>
    <w:rsid w:val="00D301F7"/>
    <w:rsid w:val="00D3034D"/>
    <w:rsid w:val="00D32EC2"/>
    <w:rsid w:val="00D34BFC"/>
    <w:rsid w:val="00D358B1"/>
    <w:rsid w:val="00D36941"/>
    <w:rsid w:val="00D40D2C"/>
    <w:rsid w:val="00D41D5A"/>
    <w:rsid w:val="00D45518"/>
    <w:rsid w:val="00D47AB0"/>
    <w:rsid w:val="00D47DB0"/>
    <w:rsid w:val="00D5667C"/>
    <w:rsid w:val="00D56C26"/>
    <w:rsid w:val="00D613ED"/>
    <w:rsid w:val="00D64EA6"/>
    <w:rsid w:val="00D6604E"/>
    <w:rsid w:val="00D66BE4"/>
    <w:rsid w:val="00D75046"/>
    <w:rsid w:val="00D85D74"/>
    <w:rsid w:val="00D86253"/>
    <w:rsid w:val="00D8702F"/>
    <w:rsid w:val="00D94D35"/>
    <w:rsid w:val="00DA564B"/>
    <w:rsid w:val="00DA6A8B"/>
    <w:rsid w:val="00DA7784"/>
    <w:rsid w:val="00DB0097"/>
    <w:rsid w:val="00DB2279"/>
    <w:rsid w:val="00DB52F0"/>
    <w:rsid w:val="00DB5368"/>
    <w:rsid w:val="00DB55BF"/>
    <w:rsid w:val="00DC09F7"/>
    <w:rsid w:val="00DC262F"/>
    <w:rsid w:val="00DC3F8B"/>
    <w:rsid w:val="00DC5744"/>
    <w:rsid w:val="00DD32F5"/>
    <w:rsid w:val="00DD3E3E"/>
    <w:rsid w:val="00DD43C3"/>
    <w:rsid w:val="00DD656A"/>
    <w:rsid w:val="00DE22C4"/>
    <w:rsid w:val="00DE3C02"/>
    <w:rsid w:val="00DE3E02"/>
    <w:rsid w:val="00DE524D"/>
    <w:rsid w:val="00DF18BC"/>
    <w:rsid w:val="00DF20AE"/>
    <w:rsid w:val="00E00A0C"/>
    <w:rsid w:val="00E00CD4"/>
    <w:rsid w:val="00E07B34"/>
    <w:rsid w:val="00E15ACF"/>
    <w:rsid w:val="00E15BC9"/>
    <w:rsid w:val="00E2016A"/>
    <w:rsid w:val="00E258B5"/>
    <w:rsid w:val="00E25D86"/>
    <w:rsid w:val="00E26C16"/>
    <w:rsid w:val="00E26E16"/>
    <w:rsid w:val="00E27CBF"/>
    <w:rsid w:val="00E31621"/>
    <w:rsid w:val="00E31659"/>
    <w:rsid w:val="00E31F13"/>
    <w:rsid w:val="00E35026"/>
    <w:rsid w:val="00E36BEE"/>
    <w:rsid w:val="00E40CA5"/>
    <w:rsid w:val="00E53630"/>
    <w:rsid w:val="00E53EA7"/>
    <w:rsid w:val="00E554F0"/>
    <w:rsid w:val="00E60C1A"/>
    <w:rsid w:val="00E60E0A"/>
    <w:rsid w:val="00E61F7F"/>
    <w:rsid w:val="00E630DD"/>
    <w:rsid w:val="00E71FBA"/>
    <w:rsid w:val="00E7289B"/>
    <w:rsid w:val="00E74F5D"/>
    <w:rsid w:val="00E762C8"/>
    <w:rsid w:val="00E7759E"/>
    <w:rsid w:val="00E778D1"/>
    <w:rsid w:val="00E80199"/>
    <w:rsid w:val="00E815EE"/>
    <w:rsid w:val="00E81FEE"/>
    <w:rsid w:val="00E9524F"/>
    <w:rsid w:val="00E963F7"/>
    <w:rsid w:val="00EA1801"/>
    <w:rsid w:val="00EA2755"/>
    <w:rsid w:val="00EA2EB6"/>
    <w:rsid w:val="00EA5D32"/>
    <w:rsid w:val="00EA6823"/>
    <w:rsid w:val="00EB12AA"/>
    <w:rsid w:val="00EB18D5"/>
    <w:rsid w:val="00EB1CED"/>
    <w:rsid w:val="00EB48EB"/>
    <w:rsid w:val="00EB719A"/>
    <w:rsid w:val="00EC0A56"/>
    <w:rsid w:val="00EC163F"/>
    <w:rsid w:val="00EC1CF4"/>
    <w:rsid w:val="00EC2A9A"/>
    <w:rsid w:val="00EC3722"/>
    <w:rsid w:val="00EC5E2D"/>
    <w:rsid w:val="00EC604C"/>
    <w:rsid w:val="00EC77A2"/>
    <w:rsid w:val="00EC7A11"/>
    <w:rsid w:val="00EE2298"/>
    <w:rsid w:val="00EE288D"/>
    <w:rsid w:val="00EE4149"/>
    <w:rsid w:val="00EE46A7"/>
    <w:rsid w:val="00EE53B3"/>
    <w:rsid w:val="00EF0B0D"/>
    <w:rsid w:val="00EF189B"/>
    <w:rsid w:val="00EF1B92"/>
    <w:rsid w:val="00EF2CD7"/>
    <w:rsid w:val="00EF4582"/>
    <w:rsid w:val="00EF73C3"/>
    <w:rsid w:val="00F0001B"/>
    <w:rsid w:val="00F008DC"/>
    <w:rsid w:val="00F00E5C"/>
    <w:rsid w:val="00F02384"/>
    <w:rsid w:val="00F03221"/>
    <w:rsid w:val="00F0325F"/>
    <w:rsid w:val="00F036B8"/>
    <w:rsid w:val="00F03917"/>
    <w:rsid w:val="00F03F67"/>
    <w:rsid w:val="00F076AB"/>
    <w:rsid w:val="00F11013"/>
    <w:rsid w:val="00F159E5"/>
    <w:rsid w:val="00F15B85"/>
    <w:rsid w:val="00F177A3"/>
    <w:rsid w:val="00F22547"/>
    <w:rsid w:val="00F22D3A"/>
    <w:rsid w:val="00F30BE9"/>
    <w:rsid w:val="00F31BFA"/>
    <w:rsid w:val="00F32058"/>
    <w:rsid w:val="00F33913"/>
    <w:rsid w:val="00F3709F"/>
    <w:rsid w:val="00F3774A"/>
    <w:rsid w:val="00F40F9B"/>
    <w:rsid w:val="00F41120"/>
    <w:rsid w:val="00F45EE4"/>
    <w:rsid w:val="00F464CF"/>
    <w:rsid w:val="00F56008"/>
    <w:rsid w:val="00F60002"/>
    <w:rsid w:val="00F60FBF"/>
    <w:rsid w:val="00F63FBA"/>
    <w:rsid w:val="00F651F4"/>
    <w:rsid w:val="00F65820"/>
    <w:rsid w:val="00F660A2"/>
    <w:rsid w:val="00F6680C"/>
    <w:rsid w:val="00F670C2"/>
    <w:rsid w:val="00F723A5"/>
    <w:rsid w:val="00F74354"/>
    <w:rsid w:val="00F74B33"/>
    <w:rsid w:val="00F7583C"/>
    <w:rsid w:val="00F7613F"/>
    <w:rsid w:val="00F7615B"/>
    <w:rsid w:val="00F76635"/>
    <w:rsid w:val="00F77965"/>
    <w:rsid w:val="00F8226B"/>
    <w:rsid w:val="00F83951"/>
    <w:rsid w:val="00F8434E"/>
    <w:rsid w:val="00F84576"/>
    <w:rsid w:val="00F85965"/>
    <w:rsid w:val="00F90330"/>
    <w:rsid w:val="00F92D58"/>
    <w:rsid w:val="00F93AAD"/>
    <w:rsid w:val="00F9535B"/>
    <w:rsid w:val="00FA2737"/>
    <w:rsid w:val="00FA437C"/>
    <w:rsid w:val="00FB0054"/>
    <w:rsid w:val="00FB2029"/>
    <w:rsid w:val="00FB236F"/>
    <w:rsid w:val="00FB2DAE"/>
    <w:rsid w:val="00FB31CE"/>
    <w:rsid w:val="00FB43A2"/>
    <w:rsid w:val="00FB727E"/>
    <w:rsid w:val="00FC5A22"/>
    <w:rsid w:val="00FC6274"/>
    <w:rsid w:val="00FD093E"/>
    <w:rsid w:val="00FD2900"/>
    <w:rsid w:val="00FD4ED7"/>
    <w:rsid w:val="00FD683C"/>
    <w:rsid w:val="00FE0190"/>
    <w:rsid w:val="00FE104F"/>
    <w:rsid w:val="00FE227B"/>
    <w:rsid w:val="00FE485E"/>
    <w:rsid w:val="00FE754F"/>
    <w:rsid w:val="00FF029B"/>
    <w:rsid w:val="00FF0F41"/>
    <w:rsid w:val="00FF1332"/>
    <w:rsid w:val="00FF2D76"/>
    <w:rsid w:val="00FF4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EBC"/>
  </w:style>
  <w:style w:type="paragraph" w:styleId="Nagwek1">
    <w:name w:val="heading 1"/>
    <w:basedOn w:val="Normalny"/>
    <w:next w:val="Normalny"/>
    <w:link w:val="Nagwek1Znak"/>
    <w:uiPriority w:val="9"/>
    <w:qFormat/>
    <w:rsid w:val="00554C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554CD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554CD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683C"/>
    <w:pPr>
      <w:ind w:left="720"/>
      <w:contextualSpacing/>
    </w:pPr>
  </w:style>
  <w:style w:type="paragraph" w:styleId="Tekstprzypisudolnego">
    <w:name w:val="footnote text"/>
    <w:basedOn w:val="Normalny"/>
    <w:link w:val="TekstprzypisudolnegoZnak"/>
    <w:uiPriority w:val="99"/>
    <w:semiHidden/>
    <w:unhideWhenUsed/>
    <w:rsid w:val="00D660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604E"/>
    <w:rPr>
      <w:sz w:val="20"/>
      <w:szCs w:val="20"/>
    </w:rPr>
  </w:style>
  <w:style w:type="character" w:styleId="Odwoanieprzypisudolnego">
    <w:name w:val="footnote reference"/>
    <w:basedOn w:val="Domylnaczcionkaakapitu"/>
    <w:uiPriority w:val="99"/>
    <w:semiHidden/>
    <w:unhideWhenUsed/>
    <w:rsid w:val="00D6604E"/>
    <w:rPr>
      <w:vertAlign w:val="superscript"/>
    </w:rPr>
  </w:style>
  <w:style w:type="character" w:styleId="Hipercze">
    <w:name w:val="Hyperlink"/>
    <w:basedOn w:val="Domylnaczcionkaakapitu"/>
    <w:uiPriority w:val="99"/>
    <w:unhideWhenUsed/>
    <w:rsid w:val="005630CD"/>
    <w:rPr>
      <w:color w:val="0563C1" w:themeColor="hyperlink"/>
      <w:u w:val="single"/>
    </w:rPr>
  </w:style>
  <w:style w:type="character" w:customStyle="1" w:styleId="Nagwek1Znak">
    <w:name w:val="Nagłówek 1 Znak"/>
    <w:basedOn w:val="Domylnaczcionkaakapitu"/>
    <w:link w:val="Nagwek1"/>
    <w:uiPriority w:val="9"/>
    <w:rsid w:val="00554CDE"/>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554CDE"/>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554CDE"/>
    <w:rPr>
      <w:rFonts w:asciiTheme="majorHAnsi" w:eastAsiaTheme="majorEastAsia" w:hAnsiTheme="majorHAnsi" w:cstheme="majorBidi"/>
      <w:b/>
      <w:bCs/>
      <w:color w:val="5B9BD5" w:themeColor="accent1"/>
    </w:rPr>
  </w:style>
  <w:style w:type="paragraph" w:styleId="Podtytu">
    <w:name w:val="Subtitle"/>
    <w:basedOn w:val="Normalny"/>
    <w:next w:val="Normalny"/>
    <w:link w:val="PodtytuZnak"/>
    <w:uiPriority w:val="11"/>
    <w:qFormat/>
    <w:rsid w:val="00554CD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54CDE"/>
    <w:rPr>
      <w:rFonts w:asciiTheme="majorHAnsi" w:eastAsiaTheme="majorEastAsia" w:hAnsiTheme="majorHAnsi" w:cstheme="majorBidi"/>
      <w:i/>
      <w:iCs/>
      <w:color w:val="5B9BD5" w:themeColor="accent1"/>
      <w:spacing w:val="15"/>
      <w:sz w:val="24"/>
      <w:szCs w:val="24"/>
    </w:rPr>
  </w:style>
  <w:style w:type="character" w:styleId="Odwoaniedokomentarza">
    <w:name w:val="annotation reference"/>
    <w:basedOn w:val="Domylnaczcionkaakapitu"/>
    <w:uiPriority w:val="99"/>
    <w:semiHidden/>
    <w:unhideWhenUsed/>
    <w:rsid w:val="00F03221"/>
    <w:rPr>
      <w:sz w:val="16"/>
      <w:szCs w:val="16"/>
    </w:rPr>
  </w:style>
  <w:style w:type="paragraph" w:styleId="Tekstkomentarza">
    <w:name w:val="annotation text"/>
    <w:basedOn w:val="Normalny"/>
    <w:link w:val="TekstkomentarzaZnak"/>
    <w:uiPriority w:val="99"/>
    <w:semiHidden/>
    <w:unhideWhenUsed/>
    <w:rsid w:val="00F032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221"/>
    <w:rPr>
      <w:sz w:val="20"/>
      <w:szCs w:val="20"/>
    </w:rPr>
  </w:style>
  <w:style w:type="paragraph" w:styleId="Tematkomentarza">
    <w:name w:val="annotation subject"/>
    <w:basedOn w:val="Tekstkomentarza"/>
    <w:next w:val="Tekstkomentarza"/>
    <w:link w:val="TematkomentarzaZnak"/>
    <w:uiPriority w:val="99"/>
    <w:semiHidden/>
    <w:unhideWhenUsed/>
    <w:rsid w:val="00F03221"/>
    <w:rPr>
      <w:b/>
      <w:bCs/>
    </w:rPr>
  </w:style>
  <w:style w:type="character" w:customStyle="1" w:styleId="TematkomentarzaZnak">
    <w:name w:val="Temat komentarza Znak"/>
    <w:basedOn w:val="TekstkomentarzaZnak"/>
    <w:link w:val="Tematkomentarza"/>
    <w:uiPriority w:val="99"/>
    <w:semiHidden/>
    <w:rsid w:val="00F03221"/>
    <w:rPr>
      <w:b/>
      <w:bCs/>
    </w:rPr>
  </w:style>
  <w:style w:type="paragraph" w:styleId="Tekstdymka">
    <w:name w:val="Balloon Text"/>
    <w:basedOn w:val="Normalny"/>
    <w:link w:val="TekstdymkaZnak"/>
    <w:uiPriority w:val="99"/>
    <w:semiHidden/>
    <w:unhideWhenUsed/>
    <w:rsid w:val="00F03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221"/>
    <w:rPr>
      <w:rFonts w:ascii="Tahoma" w:hAnsi="Tahoma" w:cs="Tahoma"/>
      <w:sz w:val="16"/>
      <w:szCs w:val="16"/>
    </w:rPr>
  </w:style>
  <w:style w:type="paragraph" w:styleId="Tytu">
    <w:name w:val="Title"/>
    <w:basedOn w:val="Normalny"/>
    <w:next w:val="Normalny"/>
    <w:link w:val="TytuZnak"/>
    <w:uiPriority w:val="10"/>
    <w:qFormat/>
    <w:rsid w:val="006457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4575B"/>
    <w:rPr>
      <w:rFonts w:asciiTheme="majorHAnsi" w:eastAsiaTheme="majorEastAsia" w:hAnsiTheme="majorHAnsi" w:cstheme="majorBidi"/>
      <w:color w:val="323E4F" w:themeColor="text2" w:themeShade="BF"/>
      <w:spacing w:val="5"/>
      <w:kern w:val="28"/>
      <w:sz w:val="52"/>
      <w:szCs w:val="52"/>
    </w:rPr>
  </w:style>
  <w:style w:type="paragraph" w:styleId="Nagwek">
    <w:name w:val="header"/>
    <w:basedOn w:val="Normalny"/>
    <w:link w:val="NagwekZnak"/>
    <w:uiPriority w:val="99"/>
    <w:semiHidden/>
    <w:unhideWhenUsed/>
    <w:rsid w:val="0064575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575B"/>
  </w:style>
  <w:style w:type="paragraph" w:styleId="Stopka">
    <w:name w:val="footer"/>
    <w:basedOn w:val="Normalny"/>
    <w:link w:val="StopkaZnak"/>
    <w:uiPriority w:val="99"/>
    <w:unhideWhenUsed/>
    <w:rsid w:val="006457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57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rawoautorskie.gov.pl/pages/strona-glowna/zmiany-w-prawie/prawo-autorskie/forum-prawa-autorskiego.php" TargetMode="External"/><Relationship Id="rId2" Type="http://schemas.openxmlformats.org/officeDocument/2006/relationships/hyperlink" Target="http://www.prawoautorskie.gov.pl/pages/posts/podsumowanie-konsultacji-spolecznych-w-sprawie-cywilnych-srodkow-egzekwowania-praw-wlasnosci-intelektualnej-434.php" TargetMode="External"/><Relationship Id="rId1" Type="http://schemas.openxmlformats.org/officeDocument/2006/relationships/hyperlink" Target="http://ec.europa.eu/internal_market/consultations/2012/intellectual-property-rights_en.htm" TargetMode="External"/><Relationship Id="rId4" Type="http://schemas.openxmlformats.org/officeDocument/2006/relationships/hyperlink" Target="http://ec.europa.eu/licences-for-europe-dialogue/en/content/final-plenary-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647D5-D4C7-4FB0-B8EA-63B9D272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3219</Words>
  <Characters>19315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Urbański</dc:creator>
  <cp:lastModifiedBy>durbanski</cp:lastModifiedBy>
  <cp:revision>5</cp:revision>
  <cp:lastPrinted>2013-12-20T12:17:00Z</cp:lastPrinted>
  <dcterms:created xsi:type="dcterms:W3CDTF">2013-12-20T14:39:00Z</dcterms:created>
  <dcterms:modified xsi:type="dcterms:W3CDTF">2013-12-20T15:42:00Z</dcterms:modified>
</cp:coreProperties>
</file>