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57" w:rsidRDefault="00BC55EE" w:rsidP="00FA1C96">
      <w:pPr>
        <w:pStyle w:val="Pagedecouverture"/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47B5504F23CA438A9B2488D841CD8BFB" style="width:451.5pt;height:393pt">
            <v:imagedata r:id="rId8" o:title=""/>
          </v:shape>
        </w:pict>
      </w:r>
    </w:p>
    <w:p w:rsidR="009C2C57" w:rsidRDefault="009C2C57">
      <w:pPr>
        <w:rPr>
          <w:noProof/>
        </w:rPr>
        <w:sectPr w:rsidR="009C2C57" w:rsidSect="00FA1C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9C2C57" w:rsidRDefault="00FA1C96">
      <w:pPr>
        <w:pStyle w:val="Exposdesmotifstitre"/>
        <w:rPr>
          <w:noProof/>
        </w:rPr>
      </w:pPr>
      <w:r>
        <w:rPr>
          <w:noProof/>
        </w:rPr>
        <w:lastRenderedPageBreak/>
        <w:t>UZASADNIENIE</w:t>
      </w:r>
    </w:p>
    <w:p w:rsidR="009C2C57" w:rsidRDefault="00FA1C96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WNIOSKU</w:t>
      </w:r>
    </w:p>
    <w:p w:rsidR="009C2C57" w:rsidRDefault="00FA1C96"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Przyczyny i cele wniosku</w:t>
      </w:r>
    </w:p>
    <w:p w:rsidR="009C2C57" w:rsidRDefault="00FA1C96">
      <w:pPr>
        <w:rPr>
          <w:noProof/>
        </w:rPr>
      </w:pPr>
      <w:r>
        <w:rPr>
          <w:noProof/>
        </w:rPr>
        <w:t>Przyjęcie proponowanego rozporządzenia zapewni wypełnienie międzynarodowego zobowiązania Unii na mocy Traktatu z Marrakeszu o ułatwieniu dostępu do opublikowanych utworów osobom niewidomym, słabowidzącym i osobom z niepełnosprawnościami uniemożliwiającymi zapoznawanie się z drukiem („traktat z Marrakeszu”). Traktat z Marrakeszu został przyjęty w 2013 r. na forum Światowej Organizacji Własności Intelektualnej (WIPO) w celu ułatwienia dostępności i transgranicznej wymiany książek i innych materiałów drukowanych w formatach umożliwiających dostęp osobom niepełnosprawnym na całym świecie. Traktat został podpisany przez Unię</w:t>
      </w:r>
      <w:r>
        <w:rPr>
          <w:rStyle w:val="Odwoanieprzypisudolnego"/>
          <w:noProof/>
        </w:rPr>
        <w:footnoteReference w:id="1"/>
      </w:r>
      <w:r>
        <w:rPr>
          <w:noProof/>
        </w:rPr>
        <w:t xml:space="preserve"> w kwietniu 2014 r. Nakłada on na strony obowiązek określenia wyjątków i ograniczeń praw autorskich i pokrewnych na potrzeby osób niewidomych, słabowidzących i osób z niepełnosprawnościami uniemożliwiającymi zapoznawanie się z drukiem i umożliwia transgraniczną wymianę kopii książek w specjalnych formatach, w tym książek mówionych, oraz innych materiałów drukowanych między państwami, które są stronami traktatu.</w:t>
      </w:r>
    </w:p>
    <w:p w:rsidR="009C2C57" w:rsidRDefault="00FA1C96">
      <w:pPr>
        <w:rPr>
          <w:noProof/>
        </w:rPr>
      </w:pPr>
      <w:r>
        <w:rPr>
          <w:noProof/>
        </w:rPr>
        <w:t>Unia podjęła więc polityczne zobowiązanie do wykonania postanowień Traktatu, które zostało od tego czasu jeszcze wzmocnione zarówno przez Radę, jak i Parlament Europejski. Oddzielnie Komisja przedstawiła wniosek dotyczący decyzji Rady w sprawie ratyfikacji traktatu z Marrakeszu przez UE w październiku 2014 r. W maju 2015 r. Rada złożyła do Komisji wniosek na podstawie art. 241 Traktatu o funkcjonowaniu Unii Europejskiej (TFUE), w którym podkreśliła swoje pełne zaangażowanie na rzecz szybkiego wejścia w życie traktatu z Marrakeszu i wezwała Komisję do niezwłocznego przedstawienia wniosku ustawodawczego mającego na celu zmianę unijnych ram prawnych zgodnie z Traktatem.</w:t>
      </w:r>
    </w:p>
    <w:p w:rsidR="009C2C57" w:rsidRDefault="00FA1C96">
      <w:pPr>
        <w:rPr>
          <w:noProof/>
        </w:rPr>
      </w:pPr>
      <w:r>
        <w:rPr>
          <w:noProof/>
        </w:rPr>
        <w:t>Beneficjenci traktatu z Marrakeszu, tj. osoby niewidome, słabowidzące i osoby z niepełnosprawnościami uniemożliwiającymi zapoznawanie się z drukiem, napotykają szereg przeszkód w dostępie do książek i innych materiałów drukowanych chronionych prawem autorskim i prawami pokrewnymi. Szacuje się, że dostępność książek w formatach umożliwiających dostęp osobom niepełnosprawnościami uniemożliwiającymi zapoznawanie się z drukiem wynosi między 7 %</w:t>
      </w:r>
      <w:r>
        <w:rPr>
          <w:rStyle w:val="Odwoanieprzypisudolnego"/>
          <w:noProof/>
        </w:rPr>
        <w:footnoteReference w:id="2"/>
      </w:r>
      <w:r>
        <w:rPr>
          <w:noProof/>
        </w:rPr>
        <w:t xml:space="preserve"> a 20 %</w:t>
      </w:r>
      <w:r>
        <w:rPr>
          <w:rStyle w:val="Odwoanieprzypisudolnego"/>
          <w:noProof/>
        </w:rPr>
        <w:footnoteReference w:id="3"/>
      </w:r>
      <w:r>
        <w:rPr>
          <w:noProof/>
        </w:rPr>
        <w:t xml:space="preserve"> pomimo faktu, że technologia cyfrowa znacznie ułatwia publikowanie w formatach umożliwiających dostęp osobom niepełnosprawnym</w:t>
      </w:r>
      <w:r>
        <w:rPr>
          <w:rStyle w:val="Odwoanieprzypisudolnego"/>
          <w:noProof/>
        </w:rPr>
        <w:footnoteReference w:id="4"/>
      </w:r>
      <w:r>
        <w:rPr>
          <w:noProof/>
        </w:rPr>
        <w:t>. Formaty umożliwiające dostęp osobom niepełnosprawnym obejmują np. druk alfabetem Braille’a, duży druk, książki elektroniczne i książki mówione ze specjalną nawigacją, audiodeskrypcję i transmisje radiowe.</w:t>
      </w:r>
    </w:p>
    <w:p w:rsidR="009C2C57" w:rsidRDefault="00FA1C96">
      <w:pPr>
        <w:rPr>
          <w:noProof/>
        </w:rPr>
      </w:pPr>
      <w:r>
        <w:rPr>
          <w:noProof/>
        </w:rPr>
        <w:lastRenderedPageBreak/>
        <w:t>Traktat z Marrakeszu zobowiązuje umawiające się strony, z jednej strony, do dostosowania ich krajowych przepisów prawnych do postanowień traktatu oraz, z drugiej strony, do umożliwienia transgranicznej wymiany z państwami trzecimi będącymi stronami traktatu kopii w formatach umożliwiających dostęp osobom niepełnosprawnym, sporządzonych na mocy krajowych wyjątków lub ograniczeń. Aby zapewnić wdrożenie traktatu z Marrakeszu w obrębie Unii, dyrektywa [...] zobowiązuje państwa członkowskie do wprowadzenia bezwzględnie obowiązującego wyjątku w niektórych prawach podmiotów praw zharmonizowanych przez prawo Unii z korzyścią dla beneficjentów oraz zapewnienia transgranicznego dostępu do kopii w formatach specjalnych w ramach rynku wewnętrznego. Celem proponowanego rozporządzenia jest wypełnienie zobowiązań UE na mocy Traktatu z Marrakeszu w sprawie wymiany kopii utworów w formacie umożliwiającym dostęp osobom niepełnosprawnym między Unią a państwami trzecimi będącymi stronami traktatu z Marrakeszu, z korzyścią dla beneficjentów.</w:t>
      </w:r>
    </w:p>
    <w:p w:rsidR="009C2C57" w:rsidRDefault="00FA1C96">
      <w:pPr>
        <w:rPr>
          <w:noProof/>
        </w:rPr>
      </w:pPr>
      <w:r>
        <w:rPr>
          <w:noProof/>
        </w:rPr>
        <w:t>Przyjęcie proponowanego rozporządzenie zapewnia zatem, by kopie utworów w formacie umożliwiającym dostęp osobom niepełnosprawnym, które zostały sporządzone w dowolnym państwie członkowskim zgodnie z krajowymi przepisami przyjętymi na mocy dyrektywy [...], mogły być wywożone do państw trzecich, które są stronami traktatu z Marrakeszu. Ponadto rozporządzenie zezwala na przywóz kopii utworów w formacie umożliwiającym dostęp osobom niepełnosprawnym zgodnie z traktatem z Marrakeszu do państw trzecich, które są stronami Traktatu, z korzyścią dla beneficjentów w Unii. Zarówno beneficjentom jak również upoważnionym podmiotom z siedzibą w Unii należy zapewnić możliwość uzyskania takich kopii i powinna istnieć możliwość obrotu takimi kopiami na rynku wewnętrznym na takich samych warunkach jak w przypadku kopii utworów w formacie umożliwiającym dostęp osobom niepełnosprawnym sporządzonych w Unii zgodnie z krajowymi przepisami przyjętymi na mocy dyrektywy [...].</w:t>
      </w:r>
    </w:p>
    <w:p w:rsidR="009C2C57" w:rsidRDefault="00FA1C96">
      <w:pPr>
        <w:spacing w:after="240"/>
        <w:rPr>
          <w:noProof/>
        </w:rPr>
      </w:pPr>
      <w:r>
        <w:rPr>
          <w:noProof/>
        </w:rPr>
        <w:t>Proponowane rozporządzenie jest także zgodne ze zobowiązaniami Unii wynikającymi z Konwencji Narodów Zjednoczonych o prawach osób niepełnosprawnych.</w:t>
      </w:r>
      <w:r>
        <w:rPr>
          <w:noProof/>
          <w:color w:val="000000"/>
          <w:bdr w:val="none" w:sz="0" w:space="0" w:color="auto" w:frame="1"/>
        </w:rPr>
        <w:t xml:space="preserve"> </w:t>
      </w:r>
      <w:r>
        <w:rPr>
          <w:noProof/>
        </w:rPr>
        <w:t>Unia Europejska jest związana konwencją od stycznia 2011 r. na mocy decyzji Rady 2010/48/WE</w:t>
      </w:r>
      <w:r>
        <w:rPr>
          <w:rStyle w:val="Odwoanieprzypisudolnego"/>
          <w:noProof/>
        </w:rPr>
        <w:footnoteReference w:id="5"/>
      </w:r>
      <w:r>
        <w:rPr>
          <w:noProof/>
        </w:rPr>
        <w:t>. Przepisy zawarte w konwencji stały się zatem integralną częścią porządku prawnego Unii. Prawo dostępu do informacji oraz prawo osób niepełnosprawnych do uczestnictwa w życiu kulturalnym na równi z innymi są zapisane w Konwencji o prawach osób niepełnosprawnych. Artykuł 30 konwencji zobowiązuje jej strony do podejmowania wszelkich odpowiednich kroków, zgodnie z prawem międzynarodowym, aby przepisy chroniące prawa własności intelektualnej nie stanowiły nieuzasadnionej i dyskryminacyjnej bariery w dostępie osób niepełnosprawnych do materiałów w dziedzinie kultury. W swoich uwagach końcowych na temat wstępnego sprawozdania Unii Europejskiej</w:t>
      </w:r>
      <w:r>
        <w:rPr>
          <w:rStyle w:val="Odwoanieprzypisudolnego"/>
          <w:noProof/>
        </w:rPr>
        <w:footnoteReference w:id="6"/>
      </w:r>
      <w:r>
        <w:rPr>
          <w:noProof/>
        </w:rPr>
        <w:t>, przyjętych w dniu 4 września 2015 r., Komitet ds. Praw Osób Niepełnosprawnych Organizacji Narodów Zjednoczonych zachęca Unię do podjęcia wszelkich odpowiednich środków w celu możliwie jak najszybszego wdrożenia traktatu z Marrakeszu.</w:t>
      </w:r>
    </w:p>
    <w:p w:rsidR="009C2C57" w:rsidRDefault="00FA1C96"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Spójność z przepisami obowiązującymi w tej dziedzinie polityki</w:t>
      </w:r>
    </w:p>
    <w:p w:rsidR="009C2C57" w:rsidRDefault="00FA1C96">
      <w:pPr>
        <w:rPr>
          <w:noProof/>
        </w:rPr>
      </w:pPr>
      <w:r>
        <w:rPr>
          <w:noProof/>
        </w:rPr>
        <w:t xml:space="preserve">Proponowane rozporządzenie dotyczy wymiany z państwami trzecimi będącymi stronami traktatu z Marrakeszu kopii utworów w formacie umożliwiającym dostęp osobom </w:t>
      </w:r>
      <w:r>
        <w:rPr>
          <w:noProof/>
        </w:rPr>
        <w:lastRenderedPageBreak/>
        <w:t>niepełnosprawnym do niektórych treści chronionych prawem autorskim. Tak więc wraz z dyrektywą [...] przyczynia się do wdrożenia traktatu z Marrakeszu do prawa unijnego. Proponowane rozporządzenie jest pierwszym unijnym aktem prawnym, wprowadzającym przepisy dotyczące konkretnie międzynarodowej wymiany kopii w formatach umożliwiającym dostęp beneficjentom traktatu.</w:t>
      </w:r>
    </w:p>
    <w:p w:rsidR="009C2C57" w:rsidRDefault="00FA1C96"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Spójność z innymi politykami Unii</w:t>
      </w:r>
    </w:p>
    <w:p w:rsidR="009C2C57" w:rsidRDefault="00FA1C96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eastAsia="Arial Unicode MS"/>
          <w:noProof/>
          <w:color w:val="000000"/>
          <w:szCs w:val="24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Proponowane rozporządzenie, wraz z dyrektywą [...], spełnia zobowiązania Unii i zobowiązania odnoszące się do integracji osób niepełnosprawnych, jak określono powyżej. Jest ono spójne z innymi unijnymi aktami prawnymi i polityką w tym zakresie.</w:t>
      </w:r>
    </w:p>
    <w:p w:rsidR="009C2C57" w:rsidRDefault="00FA1C96"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PODSTAWA PRAWNA, POMOCNICZOŚĆ I PROPORCJONALNOŚĆ</w:t>
      </w:r>
    </w:p>
    <w:p w:rsidR="009C2C57" w:rsidRDefault="00FA1C96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Podstawa prawna</w:t>
      </w:r>
    </w:p>
    <w:p w:rsidR="009C2C57" w:rsidRDefault="00FA1C96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Podstawę prawną wniosku stanowi art. 207 Traktatu o funkcjonowaniu Unii Europejskiej (TFUE).</w:t>
      </w:r>
    </w:p>
    <w:p w:rsidR="009C2C57" w:rsidRDefault="00FA1C96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Proporcjonalność</w:t>
      </w:r>
    </w:p>
    <w:p w:rsidR="009C2C57" w:rsidRDefault="00FA1C96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Unia jest zobowiązana do przestrzegania swoich międzynarodowych zobowiązań wynikających z traktatu z Marrakeszu. Niniejsze rozporządzenie służy wprowadzeniu w życie zawartych w traktacie przepisów dotyczących wymiany z państwami trzecimi będącymi stronami traktatu utworów w formacie umożliwiającym dostęp osobom niepełnosprawnym. Takie działania mogą zostać podjęte wyłącznie na szczeblu unijnym, kopii utworów i innych przedmiotów objętych ochroną w formacie umożliwiającym dostęp osobom niepełnosprawnym dotyczy handlowych aspektów własności intelektualnej. Rozporządzenie jest zatem jedynym właściwym instrumentem. Zgodnie z zasadą proporcjonalności określoną w art. 5 Traktatu o Unii Europejskiej niniejsze rozporządzenie nie wykracza poza to, co jest konieczne do osiągnięcia tego celu.</w:t>
      </w:r>
    </w:p>
    <w:p w:rsidR="009C2C57" w:rsidRDefault="00FA1C96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Wybór instrumentu</w:t>
      </w:r>
    </w:p>
    <w:p w:rsidR="009C2C57" w:rsidRDefault="00FA1C96">
      <w:pPr>
        <w:spacing w:after="240"/>
        <w:rPr>
          <w:rFonts w:eastAsia="Arial Unicode MS"/>
          <w:noProof/>
          <w:color w:val="000000"/>
          <w:szCs w:val="24"/>
          <w:bdr w:val="none" w:sz="0" w:space="0" w:color="auto" w:frame="1"/>
        </w:rPr>
      </w:pPr>
      <w:r>
        <w:rPr>
          <w:noProof/>
          <w:color w:val="000000"/>
          <w:bdr w:val="none" w:sz="0" w:space="0" w:color="auto" w:frame="1"/>
        </w:rPr>
        <w:t>Zgodnie z art. 207 Traktatu o funkcjonowaniu Unii Europejskiej</w:t>
      </w:r>
      <w:r>
        <w:rPr>
          <w:noProof/>
        </w:rPr>
        <w:t xml:space="preserve"> (TFUE) proponowanym instrumentem jest rozporządzenie.</w:t>
      </w:r>
    </w:p>
    <w:p w:rsidR="009C2C57" w:rsidRDefault="00FA1C96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WYNIKI OCEN </w:t>
      </w:r>
      <w:r>
        <w:rPr>
          <w:i/>
          <w:noProof/>
        </w:rPr>
        <w:t>EX POST</w:t>
      </w:r>
      <w:r>
        <w:rPr>
          <w:noProof/>
        </w:rPr>
        <w:t>, KONSULTACJI Z ZAINTERESOWANYMI STRONAMI I OCEN SKUTKÓW</w:t>
      </w:r>
    </w:p>
    <w:p w:rsidR="009C2C57" w:rsidRDefault="00FA1C96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Oceny </w:t>
      </w:r>
      <w:r>
        <w:rPr>
          <w:i/>
          <w:noProof/>
        </w:rPr>
        <w:t>ex post</w:t>
      </w:r>
      <w:r>
        <w:rPr>
          <w:noProof/>
        </w:rPr>
        <w:t>/kontrole sprawności obowiązującego prawodawstwa</w:t>
      </w:r>
    </w:p>
    <w:p w:rsidR="009C2C57" w:rsidRDefault="00FA1C96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Celem proponowanego rozporządzenia jest wypełnienie zobowiązań międzynarodowych w odniesieniu do prawa unijnego. Retrospektywna ocena obowiązujących przepisów europejskich w tej dziedzinie nie ma zatem znaczenia i nie jest wymagana w takich okolicznościach. Uwzględniono jednak dostępne informacje na temat powiązanych przepisów europejskich, zwłaszcza wyniki konsultacji społecznych i istniejącą wiedzę specjalistyczną.</w:t>
      </w:r>
    </w:p>
    <w:p w:rsidR="009C2C57" w:rsidRDefault="00FA1C96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Konsultacje z zainteresowanymi stronami</w:t>
      </w:r>
    </w:p>
    <w:p w:rsidR="009C2C57" w:rsidRDefault="00FA1C96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Nie przeprowadzono szczegółowych konsultacji z zainteresowanymi stronami na potrzeby proponowanego rozporządzenia, które wprowadza w życie przepisy ustanowione na szczeblu międzynarodowym. Szeroko zakrojone konsultacje społeczne w sprawie przeglądu przepisów UE dotyczących przepisów w zakresie praw autorskich prowadzone przez Komisję w okresie od grudnia 2013 r. do marca 2014 r. obejmowały również część dotyczącą ograniczeń i wyjątków na rzecz osób niepełnosprawnych oraz dostępu do utworów w formatach umożliwiających dostęp osobom niepełnosprawnym i obiegu tych utworów. W tej części konsultacji odwoływano się również do traktatu z Marrakeszu</w:t>
      </w:r>
      <w:r>
        <w:rPr>
          <w:rStyle w:val="Odwoanieprzypisudolnego"/>
          <w:noProof/>
        </w:rPr>
        <w:footnoteReference w:id="7"/>
      </w:r>
      <w:r>
        <w:rPr>
          <w:noProof/>
          <w:color w:val="000000"/>
          <w:u w:color="000000"/>
          <w:bdr w:val="nil"/>
        </w:rPr>
        <w:t>. Wśród innych aspektów użytkownicy końcowi, konsumenci i użytkownicy instytucjonalni (w tym organizacje zajmujące się zaspokajaniem potrzeb osób niepełnosprawnych i biblioteki) wskazali w opiniach na zróżnicowane zakresy krajowych wyjątków lub ograniczeń, przez co trudno jest uzyskać</w:t>
      </w:r>
      <w:r>
        <w:rPr>
          <w:noProof/>
        </w:rPr>
        <w:t xml:space="preserve"> </w:t>
      </w:r>
      <w:r>
        <w:rPr>
          <w:noProof/>
          <w:color w:val="000000"/>
          <w:bdr w:val="nil"/>
        </w:rPr>
        <w:t>pewność prawa w przypadku wywozu i przywozu kopii utworów w formacie umożliwiającym dostęp osobom niepełnosprawnym wyprodukowanych na mocy krajowego wyjątku lub ograniczenia prawa autorskiego</w:t>
      </w:r>
      <w:r>
        <w:rPr>
          <w:noProof/>
        </w:rPr>
        <w:t>.</w:t>
      </w:r>
      <w:r>
        <w:rPr>
          <w:noProof/>
          <w:color w:val="000000"/>
          <w:bdr w:val="nil"/>
        </w:rPr>
        <w:t xml:space="preserve"> Ci respondenci instytucjonalni uważali zgodnie, że traktat z Marrakeszu w sposób zadowalający rozwiąże te kwestie. </w:t>
      </w:r>
      <w:r>
        <w:rPr>
          <w:noProof/>
        </w:rPr>
        <w:t>Podmioty praw autorskich i organizacje zbiorowego zarządzania zazwyczaj były zdania, że nie ma problemów wynikających z krajowego stosowania fakultatywnego wyjątku lub ograniczenia przewidzianego w unijnych przepisach. Ponadto respondenci ci zauważali, że istniejące mechanizmy rynkowe skutecznie rozwiązują problem dostępu do utworów dla osób niepełnosprawnych. Tego poglądu nie podzielali użytkownicy końcowi, konsumenci i użytkownicy instytucjonalni.</w:t>
      </w:r>
    </w:p>
    <w:p w:rsidR="009C2C57" w:rsidRDefault="00FA1C96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Gromadzenie i wykorzystanie wiedzy eksperckiej</w:t>
      </w:r>
    </w:p>
    <w:p w:rsidR="009C2C57" w:rsidRDefault="00FA1C96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W fazie przygotowywania niniejszego wniosku nie pozyskiwano wiedzy specjalistycznej. Komisja uwzględniła badanie z 2013 r. dotyczące stosowania dyrektywy 2001/29/WE</w:t>
      </w:r>
      <w:r>
        <w:rPr>
          <w:rStyle w:val="Odwoanieprzypisudolnego"/>
          <w:noProof/>
        </w:rPr>
        <w:footnoteReference w:id="8"/>
      </w:r>
      <w:r>
        <w:rPr>
          <w:noProof/>
        </w:rPr>
        <w:t>, w którym oceniono między innymi zastosowanie w 11 państwach członkowskich dobrowolnych wyjątków lub ograniczeń w odniesieniu do osób niepełnosprawnych przewidziane w art. 5 ust. 3 lit. b) tej dyrektywy.</w:t>
      </w:r>
    </w:p>
    <w:p w:rsidR="009C2C57" w:rsidRDefault="00FA1C96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Ocena skutków</w:t>
      </w:r>
    </w:p>
    <w:p w:rsidR="009C2C57" w:rsidRDefault="00FA1C96">
      <w:pPr>
        <w:spacing w:after="240"/>
        <w:rPr>
          <w:rFonts w:eastAsia="Arial Unicode MS"/>
          <w:noProof/>
          <w:color w:val="000000"/>
          <w:szCs w:val="24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Proponowane rozporządzenie będzie uwzględniać implikacje traktatu z Marrakeszu dla wymiany z państwami trzecimi kopii utworów w formacie umożliwiającym dostęp osobom niepełnosprawnym i ma na celu dostosowanie w tym zakresie prawa unijnego do traktatu. Wytyczne w sprawie lepszego stanowienia prawa</w:t>
      </w:r>
      <w:r>
        <w:rPr>
          <w:rStyle w:val="Odwoanieprzypisudolnego"/>
          <w:noProof/>
        </w:rPr>
        <w:footnoteReference w:id="9"/>
      </w:r>
      <w:r>
        <w:rPr>
          <w:noProof/>
          <w:color w:val="000000"/>
          <w:u w:color="000000"/>
          <w:bdr w:val="nil"/>
        </w:rPr>
        <w:t xml:space="preserve"> nie nakładają obowiązku przeprowadzenia oceny skutków, jeżeli Komisja nie dysponuje swobodą uznania co do istoty działania.</w:t>
      </w:r>
    </w:p>
    <w:p w:rsidR="009C2C57" w:rsidRDefault="00FA1C96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Prawa podstawowe</w:t>
      </w:r>
    </w:p>
    <w:p w:rsidR="009C2C57" w:rsidRDefault="00FA1C96">
      <w:pPr>
        <w:rPr>
          <w:noProof/>
        </w:rPr>
      </w:pPr>
      <w:r>
        <w:rPr>
          <w:noProof/>
          <w:color w:val="000000"/>
          <w:u w:color="000000"/>
          <w:bdr w:val="nil"/>
        </w:rPr>
        <w:t>Proponowane rozporządzenie</w:t>
      </w:r>
      <w:r>
        <w:rPr>
          <w:noProof/>
        </w:rPr>
        <w:t xml:space="preserve"> służy zapewnieniu osobom niepełnosprawnym prawa do korzystania ze środków mających zapewnić im niezależność, integrację społeczną i zawodową oraz udział w życiu społeczności, co zapisano w art. 26 Karty praw podstawowych Unii Europejskiej („Karta”). Ponadto </w:t>
      </w:r>
      <w:r>
        <w:rPr>
          <w:noProof/>
          <w:color w:val="000000"/>
          <w:u w:color="000000"/>
          <w:bdr w:val="nil"/>
        </w:rPr>
        <w:t>rozporządzenie odzwierciedla zobowiązania Unii w ramach</w:t>
      </w:r>
      <w:r>
        <w:rPr>
          <w:noProof/>
        </w:rPr>
        <w:t xml:space="preserve"> Konwencji ONZ o prawach osób niepełnosprawnych. Konwencja ta zapewnia osobom niepełnosprawnym prawo dostępu do informacji i prawo do udziału w życiu kulturalnym, gospodarczym i społecznym, na równych zasadach z innymi osobami. W związku z tym uzasadnione jest ograniczenie praw majątkowych podmiotów praw autorskich w świetle zobowiązań Unii wynikających z Karty</w:t>
      </w:r>
      <w:r>
        <w:rPr>
          <w:rStyle w:val="Odwoanieprzypisudolnego"/>
          <w:noProof/>
        </w:rPr>
        <w:footnoteReference w:id="10"/>
      </w:r>
      <w:r>
        <w:rPr>
          <w:noProof/>
        </w:rPr>
        <w:t>.</w:t>
      </w:r>
    </w:p>
    <w:p w:rsidR="009C2C57" w:rsidRDefault="00FA1C96">
      <w:pPr>
        <w:rPr>
          <w:noProof/>
        </w:rPr>
      </w:pPr>
      <w:r>
        <w:rPr>
          <w:noProof/>
        </w:rPr>
        <w:t>Wniosek miałby ograniczony wpływ na prawo autorskie jako prawo własności uznane w art. 17 Karty (art. 17 ust. 2)</w:t>
      </w:r>
      <w:r>
        <w:rPr>
          <w:rStyle w:val="Odwoanieprzypisudolnego"/>
          <w:noProof/>
        </w:rPr>
        <w:footnoteReference w:id="11"/>
      </w:r>
      <w:r>
        <w:rPr>
          <w:noProof/>
        </w:rPr>
        <w:t>. W związku z tym warto zauważyć, że dyrektywą [...] wprowadzono obowiązkowy wyjątek w prawie autorskich na korzyść beneficjentów niniejszego wniosku. Wpływ niniejszego rozporządzenia zostanie zatem ograniczony do przepisów dotyczących wymiany z państwami trzecimi będącymi stronami traktatu z Marrakeszu kopii utworów w formacie umożliwiającym dostęp osobom niepełnosprawnym.</w:t>
      </w:r>
    </w:p>
    <w:p w:rsidR="009C2C57" w:rsidRDefault="00FA1C96"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WPŁYW NA BUDŻET</w:t>
      </w:r>
    </w:p>
    <w:p w:rsidR="009C2C57" w:rsidRDefault="00FA1C96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Wniosek nie ma wpływu finansowego na budżet UE.</w:t>
      </w:r>
    </w:p>
    <w:p w:rsidR="009C2C57" w:rsidRDefault="00FA1C96"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ELEMENTY FAKULTATYWNE</w:t>
      </w:r>
    </w:p>
    <w:p w:rsidR="009C2C57" w:rsidRDefault="00FA1C96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Plany wdrożenia i monitorowanie, ocena i sprawozdania</w:t>
      </w:r>
    </w:p>
    <w:p w:rsidR="009C2C57" w:rsidRDefault="00FA1C96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Zgodnie w wytycznymi w zakresie lepszego stanowienia prawa i nie wcześniej niż pięć lat od daty rozpoczęcia stosowania niniejszego rozporządzenia Komisja przeprowadzi jego ocenę i przedstawi Parlamentowi Europejskiemu, Radzie oraz Europejskiemu Komitetowi Ekonomiczno-Społecznemu główne wnioski, w stosownych przypadkach wraz z wnioskami dotyczącymi zmiany rozporządzenia. W taki sam sposób Komisja dokona oceny dyrektywy [...].</w:t>
      </w:r>
    </w:p>
    <w:p w:rsidR="009C2C57" w:rsidRDefault="00FA1C96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Szczegółowe objaśnienia poszczególnych przepisów wniosku</w:t>
      </w:r>
    </w:p>
    <w:p w:rsidR="009C2C57" w:rsidRDefault="00FA1C96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W art. 1 określono przedmiot i zakres wniosku. Proponowane rozporządzenie będzie regulować wymianę kopii w formacie umożliwiającym dostęp osobom niepełnosprawnym niektórych utworów i innych przedmiotów chronionych prawami autorskimi lub prawami pokrewnymi między Unią a państwami trzecimi, zgodnie z postanowieniami traktatu z Marrakeszu. </w:t>
      </w:r>
    </w:p>
    <w:p w:rsidR="009C2C57" w:rsidRDefault="00FA1C96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Art. 2 zawiera definicje terminów „utwór i inne przedmioty chronione”, „beneficjent”, „kopia w formacie umożliwiającym dostęp osobom niepełnosprawnym” oraz „upoważniony podmiot”, które mają zastosowanie do celów proponowanego rozporządzenia.</w:t>
      </w:r>
    </w:p>
    <w:p w:rsidR="009C2C57" w:rsidRDefault="00FA1C96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Art. 3 zawiera przepisy dotyczące wywozu z Unii do państw trzecich kopii utworów w formacie umożliwiającym dostęp osobom niepełnosprawnym.</w:t>
      </w:r>
    </w:p>
    <w:p w:rsidR="009C2C57" w:rsidRDefault="00FA1C96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Art. 4 zawiera przepisy dotyczące wwozu do Unii z państw trzecich kopii utworów w formacie umożliwiającym dostęp osobom niepełnosprawnym. </w:t>
      </w:r>
    </w:p>
    <w:p w:rsidR="009C2C57" w:rsidRDefault="00FA1C96">
      <w:pPr>
        <w:spacing w:before="0" w:after="240"/>
        <w:rPr>
          <w:rFonts w:eastAsia="Arial Unicode MS" w:hAnsi="Arial Unicode MS" w:cs="Arial Unicode MS"/>
          <w:noProof/>
          <w:color w:val="000000"/>
          <w:szCs w:val="24"/>
          <w:u w:color="000000"/>
        </w:rPr>
      </w:pPr>
      <w:r>
        <w:rPr>
          <w:rFonts w:hAnsi="Arial Unicode MS"/>
          <w:noProof/>
          <w:color w:val="000000"/>
          <w:u w:color="000000"/>
        </w:rPr>
        <w:t>W art. 5 okre</w:t>
      </w:r>
      <w:r>
        <w:rPr>
          <w:noProof/>
          <w:color w:val="000000"/>
          <w:u w:color="000000"/>
        </w:rPr>
        <w:t>ś</w:t>
      </w:r>
      <w:r>
        <w:rPr>
          <w:rFonts w:hAnsi="Arial Unicode MS"/>
          <w:noProof/>
          <w:color w:val="000000"/>
          <w:u w:color="000000"/>
        </w:rPr>
        <w:t>lono obowi</w:t>
      </w:r>
      <w:r>
        <w:rPr>
          <w:noProof/>
          <w:color w:val="000000"/>
          <w:u w:color="000000"/>
        </w:rPr>
        <w:t>ą</w:t>
      </w:r>
      <w:r>
        <w:rPr>
          <w:rFonts w:hAnsi="Arial Unicode MS"/>
          <w:noProof/>
          <w:color w:val="000000"/>
          <w:u w:color="000000"/>
        </w:rPr>
        <w:t>zki upowa</w:t>
      </w:r>
      <w:r>
        <w:rPr>
          <w:noProof/>
          <w:color w:val="000000"/>
          <w:u w:color="000000"/>
        </w:rPr>
        <w:t>ż</w:t>
      </w:r>
      <w:r>
        <w:rPr>
          <w:rFonts w:hAnsi="Arial Unicode MS"/>
          <w:noProof/>
          <w:color w:val="000000"/>
          <w:u w:color="000000"/>
        </w:rPr>
        <w:t>nionych podmiot</w:t>
      </w:r>
      <w:r>
        <w:rPr>
          <w:noProof/>
          <w:color w:val="000000"/>
          <w:u w:color="000000"/>
        </w:rPr>
        <w:t>ó</w:t>
      </w:r>
      <w:r>
        <w:rPr>
          <w:rFonts w:hAnsi="Arial Unicode MS"/>
          <w:noProof/>
          <w:color w:val="000000"/>
          <w:u w:color="000000"/>
        </w:rPr>
        <w:t>w, kt</w:t>
      </w:r>
      <w:r>
        <w:rPr>
          <w:noProof/>
          <w:color w:val="000000"/>
          <w:u w:color="000000"/>
        </w:rPr>
        <w:t>ó</w:t>
      </w:r>
      <w:r>
        <w:rPr>
          <w:rFonts w:hAnsi="Arial Unicode MS"/>
          <w:noProof/>
          <w:color w:val="000000"/>
          <w:u w:color="000000"/>
        </w:rPr>
        <w:t>re musz</w:t>
      </w:r>
      <w:r>
        <w:rPr>
          <w:noProof/>
          <w:color w:val="000000"/>
          <w:u w:color="000000"/>
        </w:rPr>
        <w:t>ą</w:t>
      </w:r>
      <w:r>
        <w:rPr>
          <w:rFonts w:hAnsi="Arial Unicode MS"/>
          <w:noProof/>
          <w:color w:val="000000"/>
          <w:u w:color="000000"/>
        </w:rPr>
        <w:t xml:space="preserve"> one spe</w:t>
      </w:r>
      <w:r>
        <w:rPr>
          <w:noProof/>
          <w:color w:val="000000"/>
          <w:u w:color="000000"/>
        </w:rPr>
        <w:t>ł</w:t>
      </w:r>
      <w:r>
        <w:rPr>
          <w:rFonts w:hAnsi="Arial Unicode MS"/>
          <w:noProof/>
          <w:color w:val="000000"/>
          <w:u w:color="000000"/>
        </w:rPr>
        <w:t>ni</w:t>
      </w:r>
      <w:r>
        <w:rPr>
          <w:noProof/>
          <w:color w:val="000000"/>
          <w:u w:color="000000"/>
        </w:rPr>
        <w:t>ć</w:t>
      </w:r>
      <w:r>
        <w:rPr>
          <w:rFonts w:hAnsi="Arial Unicode MS"/>
          <w:noProof/>
          <w:color w:val="000000"/>
          <w:u w:color="000000"/>
        </w:rPr>
        <w:t xml:space="preserve"> przy wymianie z pa</w:t>
      </w:r>
      <w:r>
        <w:rPr>
          <w:noProof/>
          <w:color w:val="000000"/>
          <w:u w:color="000000"/>
        </w:rPr>
        <w:t>ń</w:t>
      </w:r>
      <w:r>
        <w:rPr>
          <w:rFonts w:hAnsi="Arial Unicode MS"/>
          <w:noProof/>
          <w:color w:val="000000"/>
          <w:u w:color="000000"/>
        </w:rPr>
        <w:t>stwami trzecimi kopii utwor</w:t>
      </w:r>
      <w:r>
        <w:rPr>
          <w:noProof/>
          <w:color w:val="000000"/>
          <w:u w:color="000000"/>
        </w:rPr>
        <w:t>ó</w:t>
      </w:r>
      <w:r>
        <w:rPr>
          <w:rFonts w:hAnsi="Arial Unicode MS"/>
          <w:noProof/>
          <w:color w:val="000000"/>
          <w:u w:color="000000"/>
        </w:rPr>
        <w:t>w w formacie umo</w:t>
      </w:r>
      <w:r>
        <w:rPr>
          <w:noProof/>
          <w:color w:val="000000"/>
          <w:u w:color="000000"/>
        </w:rPr>
        <w:t>ż</w:t>
      </w:r>
      <w:r>
        <w:rPr>
          <w:rFonts w:hAnsi="Arial Unicode MS"/>
          <w:noProof/>
          <w:color w:val="000000"/>
          <w:u w:color="000000"/>
        </w:rPr>
        <w:t>liwiaj</w:t>
      </w:r>
      <w:r>
        <w:rPr>
          <w:noProof/>
          <w:color w:val="000000"/>
          <w:u w:color="000000"/>
        </w:rPr>
        <w:t>ą</w:t>
      </w:r>
      <w:r>
        <w:rPr>
          <w:rFonts w:hAnsi="Arial Unicode MS"/>
          <w:noProof/>
          <w:color w:val="000000"/>
          <w:u w:color="000000"/>
        </w:rPr>
        <w:t>cym dost</w:t>
      </w:r>
      <w:r>
        <w:rPr>
          <w:noProof/>
          <w:color w:val="000000"/>
          <w:u w:color="000000"/>
        </w:rPr>
        <w:t>ę</w:t>
      </w:r>
      <w:r>
        <w:rPr>
          <w:rFonts w:hAnsi="Arial Unicode MS"/>
          <w:noProof/>
          <w:color w:val="000000"/>
          <w:u w:color="000000"/>
        </w:rPr>
        <w:t>p osobom niepe</w:t>
      </w:r>
      <w:r>
        <w:rPr>
          <w:noProof/>
          <w:color w:val="000000"/>
          <w:u w:color="000000"/>
        </w:rPr>
        <w:t>ł</w:t>
      </w:r>
      <w:r>
        <w:rPr>
          <w:rFonts w:hAnsi="Arial Unicode MS"/>
          <w:noProof/>
          <w:color w:val="000000"/>
          <w:u w:color="000000"/>
        </w:rPr>
        <w:t xml:space="preserve">nosprawnym. </w:t>
      </w:r>
    </w:p>
    <w:p w:rsidR="009C2C57" w:rsidRDefault="00FA1C96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W art. 6 określono zasady mające zastosowanie w zakresie ochrony danych osobowych. </w:t>
      </w:r>
    </w:p>
    <w:p w:rsidR="009C2C57" w:rsidRDefault="00FA1C96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W art. 7 zawarto ustalenia dotyczące oceny niniejszego rozporządzenia, zgodnie z zasadami lepszego stanowienia prawa.</w:t>
      </w:r>
    </w:p>
    <w:p w:rsidR="009C2C57" w:rsidRDefault="00FA1C96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W art. 8 określono datę wejścia rozporządzenia w życie, a w art. 9 jego stosowanie w czasie.</w:t>
      </w:r>
    </w:p>
    <w:p w:rsidR="009C2C57" w:rsidRDefault="009C2C57">
      <w:pPr>
        <w:rPr>
          <w:noProof/>
        </w:rPr>
        <w:sectPr w:rsidR="009C2C57" w:rsidSect="00FA1C96"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 w:rsidR="009C2C57" w:rsidRDefault="00FA1C96" w:rsidP="00FA1C96">
      <w:pPr>
        <w:pStyle w:val="Rfrenceinterinstitutionnelle"/>
        <w:rPr>
          <w:noProof/>
        </w:rPr>
      </w:pPr>
      <w:r w:rsidRPr="00FA1C96">
        <w:t>2016/0279 (COD)</w:t>
      </w:r>
    </w:p>
    <w:p w:rsidR="009C2C57" w:rsidRDefault="00FA1C96" w:rsidP="00FA1C96">
      <w:pPr>
        <w:pStyle w:val="Statut"/>
        <w:rPr>
          <w:noProof/>
        </w:rPr>
      </w:pPr>
      <w:r w:rsidRPr="00FA1C96">
        <w:t>Wniosek</w:t>
      </w:r>
    </w:p>
    <w:p w:rsidR="009C2C57" w:rsidRDefault="00FA1C96" w:rsidP="00FA1C96">
      <w:pPr>
        <w:pStyle w:val="Typedudocument"/>
        <w:rPr>
          <w:noProof/>
        </w:rPr>
      </w:pPr>
      <w:r w:rsidRPr="00FA1C96">
        <w:t>ROZPORZĄDZENIE PARLAMENTU EUROPEJSKIEGO I RADY</w:t>
      </w:r>
    </w:p>
    <w:p w:rsidR="009C2C57" w:rsidRDefault="00FA1C96" w:rsidP="00FA1C96">
      <w:pPr>
        <w:pStyle w:val="Titreobjet"/>
        <w:rPr>
          <w:noProof/>
        </w:rPr>
      </w:pPr>
      <w:r w:rsidRPr="00FA1C96">
        <w:t>w sprawie transgranicznej wymiany między Unią a państwami trzecimi kopii utworów w formacie umożliwiającym dostęp osobom niepełnosprawnym do określonych utworów i innych przedmiotów chronionych prawem autorskim i prawami pokrewnym, z</w:t>
      </w:r>
      <w:r>
        <w:t> </w:t>
      </w:r>
      <w:r w:rsidRPr="00FA1C96">
        <w:t xml:space="preserve">korzyścią dla osób niewidomych, słabowidzących lub z innymi niepełnosprawnościami uniemożliwiającymi zapoznawanie się z drukiem </w:t>
      </w:r>
    </w:p>
    <w:p w:rsidR="009C2C57" w:rsidRDefault="00FA1C96">
      <w:pPr>
        <w:pStyle w:val="Institutionquiagit"/>
        <w:rPr>
          <w:noProof/>
        </w:rPr>
      </w:pPr>
      <w:r>
        <w:rPr>
          <w:noProof/>
        </w:rPr>
        <w:t>PARLAMENT EUROPEJSKI I RADA UNII EUROPEJSKIEJ,</w:t>
      </w:r>
    </w:p>
    <w:p w:rsidR="009C2C57" w:rsidRDefault="00FA1C96">
      <w:pPr>
        <w:rPr>
          <w:noProof/>
        </w:rPr>
      </w:pPr>
      <w:r>
        <w:rPr>
          <w:noProof/>
        </w:rPr>
        <w:t>uwzględniając Traktat o funkcjonowaniu Unii Europejskiej, w szczególności jego art. 207,</w:t>
      </w:r>
    </w:p>
    <w:p w:rsidR="009C2C57" w:rsidRDefault="00FA1C96">
      <w:pPr>
        <w:rPr>
          <w:noProof/>
        </w:rPr>
      </w:pPr>
      <w:r>
        <w:rPr>
          <w:noProof/>
        </w:rPr>
        <w:t>uwzględniając wniosek Komisji Europejskiej,</w:t>
      </w:r>
    </w:p>
    <w:p w:rsidR="009C2C57" w:rsidRDefault="00FA1C96">
      <w:pPr>
        <w:rPr>
          <w:noProof/>
        </w:rPr>
      </w:pPr>
      <w:r>
        <w:rPr>
          <w:noProof/>
        </w:rPr>
        <w:t>po przekazaniu projektu aktu ustawodawczego parlamentom narodowym,</w:t>
      </w:r>
    </w:p>
    <w:p w:rsidR="009C2C57" w:rsidRDefault="00FA1C96">
      <w:pPr>
        <w:rPr>
          <w:noProof/>
        </w:rPr>
      </w:pPr>
      <w:r>
        <w:rPr>
          <w:noProof/>
        </w:rPr>
        <w:t>stanowiąc zgodnie ze zwykłą procedurą ustawodawczą,</w:t>
      </w:r>
    </w:p>
    <w:p w:rsidR="009C2C57" w:rsidRDefault="00FA1C96">
      <w:pPr>
        <w:rPr>
          <w:noProof/>
        </w:rPr>
      </w:pPr>
      <w:r>
        <w:rPr>
          <w:noProof/>
        </w:rPr>
        <w:t>a także mając na uwadze, co następuje:</w:t>
      </w:r>
    </w:p>
    <w:p w:rsidR="009C2C57" w:rsidRDefault="00FA1C96"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Osoby niewidome, słabowidzące i osoby z niepełnosprawnościami uniemożliwiającymi zapoznawanie się z drukiem nadal napotykają liczne bariery w dostępie do książek i innych materiałów drukowanych. Potrzebę zwiększenia liczby utworów i innych chronionych przedmiotów praw autorskich w formatach umożliwiających dostęp osobom niepełnosprawnym oraz poprawy obiegu i rozpowszechniania uznano na szczeblu międzynarodowym. Traktat z Marrakeszu o ułatwieniu dostępu do opublikowanych utworów osobom niewidomym, słabowidzącym i osobom z niepełnosprawnościami uniemożliwiającymi zapoznawanie się z drukiem („traktat”) został w imieniu Unii podpisany w dniu 30 kwietnia 2014 r.</w:t>
      </w:r>
      <w:r>
        <w:rPr>
          <w:rStyle w:val="Odwoanieprzypisudolnego"/>
          <w:noProof/>
        </w:rPr>
        <w:footnoteReference w:id="12"/>
      </w:r>
      <w:r>
        <w:rPr>
          <w:noProof/>
        </w:rPr>
        <w:t>. Zobowiązuje on umawiające się strony do zapewnienia wyjątków i ograniczeń względem wyłącznych praw podmiotów praw autorskich i praw pokrewnych w celu tworzenia i rozpowszechniania kopii niektórych utworów i innych przedmiotów objętych ochroną w formatach umożliwiających dostęp osobom niepełnosprawnym, a także do umożliwienia transgranicznej wymiany takich kopii. Beneficjentami traktatu z Marrakeszu są osoby niewidome, słabowidzące lub osoby z ograniczoną zdolnością postrzegania lub czytania, w tym także z dysleksją, które to niepełnosprawności uniemożliwiają im czytanie dzieł drukowanych w takim samym stopniu jak czynią to osoby bez niepełnosprawności; bądź też osoby, które te nie są w stanie trzymać książki bądź posługiwać się nią lub też skupić wzroku bądź poruszać oczami w stopniu umożliwiającym czytanie w normalnych okolicznościach z powodu niepełnosprawności fizycznej.</w:t>
      </w:r>
    </w:p>
    <w:p w:rsidR="009C2C57" w:rsidRDefault="00FA1C96"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Celem dyrektywy [...] jest wypełnienie przez Unię zobowiązań na mocy traktatu z Marrakeszu w sposób zharmonizowany, aby zwiększyć dostępność kopii utworów w formacie umożliwiającym dostęp osobom niepełnosprawnym oraz poprawić obrót tymi kopiami na rynku wewnętrznym. Dyrektywa zobowiązuje państwa członkowskie do wprowadzenia bezwzględnie obowiązującego wyjątku w odniesieniu do niektórych praw podmiotów prawa autorskiego, które to prawa są zharmonizowane przez prawo unijne. Celem niniejszego rozporządzenia jest wypełnienie zobowiązań traktatu z Marrakeszu w odniesieniu do wywozu i przywozu kopii utworów w formacie umożliwiającym dostęp osobom niepełnosprawnym między Unią i państwami trzecimi będącymi stronami traktatu z Marrakeszu, z korzyścią dla beneficjentów, oraz określenie warunków takiego wywozu i przywozu. Takie działania można podjąć wyłącznie na szczeblu unijnym, gdyż wymiana kopii utworów i innych przedmiotów objętych ochroną w formacie umożliwiającym dostęp osobom niepełnosprawnym dotyczy handlowych aspektów własności intelektualnej. Rozporządzenie jest zatem jedynym właściwym instrumentem.</w:t>
      </w:r>
    </w:p>
    <w:p w:rsidR="009C2C57" w:rsidRDefault="00FA1C96"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Rozporządzenie zapewnia zatem, by kopie książek, czasopism, gazet, magazynów oraz innych tekstów pisanych, partytur muzycznych i innych materiałów drukowanych, które zostały sporządzone w dowolnym państwie członkowskim zgodnie z krajowymi przepisami przyjętymi na mocy dyrektywy [...], mogły być wywożone do państw trzecich, które są stronami traktatu z Marrakeszu. Do formatów umożliwiających dostęp należą: druk alfabetem Braille’a, duży druk, książki mówione i książki elektroniczne oraz programy radiowe. Rozpowszechnianiem, podawaniem do publicznej wiadomości i udostępnianiem kopii utworów w formacie umożliwiającym dostęp osobom niepełnosprawnym z niepełnosprawnościami uniemożliwiającymi zapoznawanie się z drukiem lub upoważnionym podmiotom w państwie trzecim powinny zajmować się wyłącznie w celach niezarobkowych upoważnione podmioty mające siedzibę w Unii.</w:t>
      </w:r>
    </w:p>
    <w:p w:rsidR="009C2C57" w:rsidRDefault="00FA1C96"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Niniejsze rozporządzenie powinno również umożliwiać beneficjentom w Unii oraz upoważnionym podmiotom mającym siedzibę w Unii przywóz z kraju trzeciego kopii utworów w formacie umożliwiającym dostęp osobom niepełnosprawnym oraz dostęp do nich, zgodnie z postanowieniami traktatu z Marrakeszu, z korzyścią dla osób z niepełnosprawnościami uniemożliwiającymi zapoznawanie się z drukiem. Powinna istnieć możliwość wprowadzania do obiegu na rynku wewnętrznym tych kopii utworów w formacie umożliwiającym dostęp osobom niepełnosprawnym na takich samych warunkach jak w przypadku kopii utworów w formacie umożliwiającym dostęp osobom niepełnosprawnym sporządzonych w Unii zgodnie z dyrektywą [...].</w:t>
      </w:r>
    </w:p>
    <w:p w:rsidR="009C2C57" w:rsidRDefault="00FA1C96"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>Aby zwiększyć dostępność kopii w formatach umożliwiających dostęp osobom niepełnosprawnym oraz aby zapobiec nielegalnemu rozpowszechnianiu utworów i innych przedmiotów objętych ochroną, upoważnione podmioty zajmujących się rozpowszechnianiem lub udostępnianiem kopii utworów w formacie umożliwiającym dostęp osobom niepełnosprawnym powinny spełniać określone zobowiązania.</w:t>
      </w:r>
    </w:p>
    <w:p w:rsidR="009C2C57" w:rsidRDefault="00FA1C96">
      <w:pPr>
        <w:pStyle w:val="ManualConsidrant"/>
        <w:rPr>
          <w:noProof/>
          <w:color w:val="000000" w:themeColor="text1"/>
        </w:rPr>
      </w:pPr>
      <w:r>
        <w:rPr>
          <w:noProof/>
        </w:rPr>
        <w:t>(6)</w:t>
      </w:r>
      <w:r>
        <w:rPr>
          <w:noProof/>
        </w:rPr>
        <w:tab/>
        <w:t>Wszelkie przetwarzanie danych osobowych w ramach niniejszego rozporządzenia powinno odbywać się z poszanowaniem praw podstawowych, w tym prawa do poszanowania życia prywatnego i rodzinnego oraz prawa do ochrony danych osobowych zgodnie z art. 7 i 8 Karty praw podstawowych Unii Europejskiej, oraz musi być zgodne z dyrektywą 95/46/WE Parlamentu Europejskiego i Rady</w:t>
      </w:r>
      <w:r>
        <w:rPr>
          <w:rStyle w:val="Odwoanieprzypisudolnego"/>
          <w:noProof/>
        </w:rPr>
        <w:footnoteReference w:id="13"/>
      </w:r>
      <w:r>
        <w:rPr>
          <w:noProof/>
        </w:rPr>
        <w:t xml:space="preserve">, która reguluje przetwarzanie danych osobowych, wykonywane przez upoważnione podmioty w ramach niniejszego rozporządzenia i pod nadzorem właściwych organów państw członkowskich, w szczególności niezależnych organów publicznych wyznaczonych przez państwa członkowskie. </w:t>
      </w:r>
    </w:p>
    <w:p w:rsidR="009C2C57" w:rsidRDefault="00FA1C96">
      <w:pPr>
        <w:pStyle w:val="ManualConsidrant"/>
        <w:rPr>
          <w:noProof/>
        </w:rPr>
      </w:pPr>
      <w:r>
        <w:rPr>
          <w:noProof/>
        </w:rPr>
        <w:t>(7)</w:t>
      </w:r>
      <w:r>
        <w:rPr>
          <w:noProof/>
        </w:rPr>
        <w:tab/>
        <w:t>Konwencja o prawach osób niepełnosprawnych, której stroną jest UE, zapewnia osobom niepełnosprawnym prawo dostępu do informacji i prawo do udziału w życiu kulturalnym, gospodarczym i społecznym, na równych zasadach z innymi osobami. Konwencja zobowiązuje strony do podejmowania wszelkich odpowiednich kroków, zgodnie z prawem międzynarodowym, aby przepisy chroniące prawa własności intelektualnej nie stanowiły nieuzasadnionej i dyskryminującej przeszkody w dostępie osób niepełnosprawnych do materiałów kulturalnych.</w:t>
      </w:r>
    </w:p>
    <w:p w:rsidR="009C2C57" w:rsidRDefault="00FA1C96">
      <w:pPr>
        <w:pStyle w:val="ManualConsidrant"/>
        <w:rPr>
          <w:noProof/>
        </w:rPr>
      </w:pPr>
      <w:r>
        <w:rPr>
          <w:noProof/>
        </w:rPr>
        <w:t>(8)</w:t>
      </w:r>
      <w:r>
        <w:rPr>
          <w:noProof/>
        </w:rPr>
        <w:tab/>
        <w:t>Niniejsze rozporządzenie nie narusza praw podstawowych ani zasad uznanych w Karcie praw podstawowych Unii Europejskiej. Przepisy niniejszego rozporządzenia należy interpretować i stosować zgodnie z tymi prawami i zasadami.</w:t>
      </w:r>
    </w:p>
    <w:p w:rsidR="009C2C57" w:rsidRDefault="00FA1C96">
      <w:pPr>
        <w:pStyle w:val="Formuledadoption"/>
        <w:rPr>
          <w:noProof/>
        </w:rPr>
      </w:pPr>
      <w:r>
        <w:rPr>
          <w:noProof/>
        </w:rPr>
        <w:t>PRZYJMUJĄ NINIEJSZE ROZPORZĄDZENIE:</w:t>
      </w:r>
    </w:p>
    <w:p w:rsidR="009C2C57" w:rsidRDefault="00FA1C96">
      <w:pPr>
        <w:pStyle w:val="Titrearticle"/>
        <w:rPr>
          <w:i w:val="0"/>
          <w:noProof/>
        </w:rPr>
      </w:pPr>
      <w:r>
        <w:rPr>
          <w:noProof/>
        </w:rPr>
        <w:t>Artykuł 1</w:t>
      </w:r>
      <w:r>
        <w:rPr>
          <w:noProof/>
        </w:rPr>
        <w:br/>
        <w:t>Przedmiot i zakres stosowania</w:t>
      </w:r>
    </w:p>
    <w:p w:rsidR="009C2C57" w:rsidRDefault="00FA1C96">
      <w:pPr>
        <w:rPr>
          <w:noProof/>
        </w:rPr>
      </w:pPr>
      <w:r>
        <w:rPr>
          <w:noProof/>
        </w:rPr>
        <w:t>W niniejszym rozporządzeniu ustanawia się zasady dotyczące transgranicznej wymiany między Unią i państwami trzecimi będącymi stronami traktatu z Marrakeszu kopii utworów i innych przedmiotów objętych ochroną w formacie umożliwiającym dostęp osobom niepełnosprawnym bez zezwolenia podmiotu praw, z korzyścią dla osób niewidomych, słabowidzących lub z innymi niepełnosprawnościami uniemożliwiającymi zapoznawanie się z drukiem.</w:t>
      </w:r>
    </w:p>
    <w:p w:rsidR="009C2C57" w:rsidRDefault="00FA1C96">
      <w:pPr>
        <w:pStyle w:val="Titrearticle"/>
        <w:rPr>
          <w:i w:val="0"/>
          <w:noProof/>
        </w:rPr>
      </w:pPr>
      <w:r>
        <w:rPr>
          <w:noProof/>
        </w:rPr>
        <w:t>Artykuł 2</w:t>
      </w:r>
      <w:r>
        <w:rPr>
          <w:noProof/>
        </w:rPr>
        <w:br/>
        <w:t>Definicje</w:t>
      </w:r>
    </w:p>
    <w:p w:rsidR="009C2C57" w:rsidRDefault="00FA1C96">
      <w:pPr>
        <w:rPr>
          <w:noProof/>
        </w:rPr>
      </w:pPr>
      <w:r>
        <w:rPr>
          <w:noProof/>
        </w:rPr>
        <w:t>Do celów niniejszego rozporządzenia stosuje się następujące definicje:</w:t>
      </w:r>
    </w:p>
    <w:p w:rsidR="009C2C57" w:rsidRDefault="00FA1C96">
      <w:pPr>
        <w:pStyle w:val="Point0number"/>
        <w:numPr>
          <w:ilvl w:val="0"/>
          <w:numId w:val="10"/>
        </w:numPr>
        <w:rPr>
          <w:noProof/>
        </w:rPr>
      </w:pPr>
      <w:r>
        <w:rPr>
          <w:noProof/>
        </w:rPr>
        <w:t>„utwór lub inny przedmiot objęty ochroną” oznacza utwór w postaci książki, czasopisma, gazety, magazynu lub innego tekstu pisanego, w tym partytur muzycznych, oraz związanych z nimi ilustracji, we wszelkich formach, w tym w formie dźwiękowej, takiej jak książki mówione; który to utwór jest chroniony prawami autorskimi lub pokrewnymi i został zgodnie z prawem opublikowany lub w inny sposób podany do publicznej wiadomości;</w:t>
      </w:r>
    </w:p>
    <w:p w:rsidR="009C2C57" w:rsidRDefault="00FA1C96">
      <w:pPr>
        <w:pStyle w:val="Point0number"/>
        <w:rPr>
          <w:noProof/>
        </w:rPr>
      </w:pPr>
      <w:r>
        <w:rPr>
          <w:noProof/>
        </w:rPr>
        <w:t xml:space="preserve">„beneficjent” oznacza: </w:t>
      </w:r>
    </w:p>
    <w:p w:rsidR="009C2C57" w:rsidRDefault="00FA1C96">
      <w:pPr>
        <w:pStyle w:val="Point1letter"/>
        <w:rPr>
          <w:noProof/>
        </w:rPr>
      </w:pPr>
      <w:r>
        <w:rPr>
          <w:noProof/>
        </w:rPr>
        <w:t xml:space="preserve">osobę niewidomą; </w:t>
      </w:r>
    </w:p>
    <w:p w:rsidR="009C2C57" w:rsidRDefault="00FA1C96">
      <w:pPr>
        <w:pStyle w:val="Point1letter"/>
        <w:rPr>
          <w:noProof/>
        </w:rPr>
      </w:pPr>
      <w:r>
        <w:rPr>
          <w:noProof/>
        </w:rPr>
        <w:t xml:space="preserve">osobę, która posiada niepełnosprawność wzroku niepoddającą się korekcji w takim stopniu, aby funkcja wzroku tej osoby stała się zasadniczo równoważna z funkcją wzroku osoby nieposiadającej takiego ograniczenia; </w:t>
      </w:r>
    </w:p>
    <w:p w:rsidR="009C2C57" w:rsidRDefault="00FA1C96">
      <w:pPr>
        <w:pStyle w:val="Point1letter"/>
        <w:rPr>
          <w:noProof/>
        </w:rPr>
      </w:pPr>
      <w:r>
        <w:rPr>
          <w:noProof/>
        </w:rPr>
        <w:t>osobę, która ma ograniczoną zdolność postrzegania lub czytania niepoddającą się korekcji, w tym dysleksję, która w związku z tym nie jest w stanie czytać utworów drukowanych w zasadniczo takim samym stopniu, co osoby nieposiadające takiego ograniczenia lub takiej niepełnosprawności; lub</w:t>
      </w:r>
    </w:p>
    <w:p w:rsidR="009C2C57" w:rsidRDefault="00FA1C96">
      <w:pPr>
        <w:pStyle w:val="Point1letter"/>
        <w:rPr>
          <w:noProof/>
        </w:rPr>
      </w:pPr>
      <w:r>
        <w:rPr>
          <w:noProof/>
        </w:rPr>
        <w:t>osobę, która ze względu na inną niepełnosprawność fizyczną nie jest w stanie trzymać książki bądź posługiwać się nią lub też skupić wzroku bądź poruszać oczami w stopniu umożliwiającym czytanie w normalnych okolicznościach;</w:t>
      </w:r>
    </w:p>
    <w:p w:rsidR="009C2C57" w:rsidRDefault="00FA1C96">
      <w:pPr>
        <w:pStyle w:val="Point0number"/>
        <w:rPr>
          <w:noProof/>
        </w:rPr>
      </w:pPr>
      <w:r>
        <w:rPr>
          <w:noProof/>
        </w:rPr>
        <w:t>„kopia utworu w formacie umożliwiającym dostęp osobom niepełnosprawnym” to kopia utworu lub innego przedmiotu objętego ochroną w inny sposób lub w innej formie, która zapewnia beneficjentowi dostęp do utworu lub innego przedmiotu objętego ochroną, w tym umożliwiająca danej osobie dostęp równie skuteczny i wygodny jak ten, z którego korzystają osoby bez niepełnosprawności wzroku lub którejkolwiek z niepełnosprawności, o których mowa w ust. 2;</w:t>
      </w:r>
    </w:p>
    <w:p w:rsidR="009C2C57" w:rsidRDefault="00FA1C96">
      <w:pPr>
        <w:pStyle w:val="Point0number"/>
        <w:rPr>
          <w:noProof/>
        </w:rPr>
      </w:pPr>
      <w:r>
        <w:rPr>
          <w:noProof/>
        </w:rPr>
        <w:t>„upoważniony podmiot” oznacza organizację prowadzącą na zasadzie niedochodowej jako główną działalność lub jedno ze swoich głównych działań bądź zadań leżących w interesie publicznym działalność na rzecz beneficjentów w zakresie edukacji, szkoleń, czytania adaptacyjnego lub dostępu do informacji.</w:t>
      </w:r>
    </w:p>
    <w:p w:rsidR="009C2C57" w:rsidRDefault="00FA1C96">
      <w:pPr>
        <w:pStyle w:val="Titrearticle"/>
        <w:rPr>
          <w:i w:val="0"/>
          <w:noProof/>
        </w:rPr>
      </w:pPr>
      <w:r>
        <w:rPr>
          <w:noProof/>
        </w:rPr>
        <w:t>Artykuł 3</w:t>
      </w:r>
      <w:r>
        <w:rPr>
          <w:noProof/>
        </w:rPr>
        <w:br/>
        <w:t>Wywóz kopii w formacie umożliwiającym dostęp osobom niepełnosprawnym do państw trzecich</w:t>
      </w:r>
    </w:p>
    <w:p w:rsidR="009C2C57" w:rsidRDefault="00FA1C96">
      <w:pPr>
        <w:rPr>
          <w:noProof/>
        </w:rPr>
      </w:pPr>
      <w:r>
        <w:rPr>
          <w:noProof/>
        </w:rPr>
        <w:t>Upoważniony podmiot mający siedzibę w państwie członkowskim może rozpowszechniać wśród beneficjentów lub upoważnionych podmiotów, mających siedzibę w państwie trzecim będącym stroną traktatu z Marrakeszu, , udostępniać im lub podawać do ich wiadomości kopię w formacie umożliwiającym dostęp osobom niepełnosprawnym zgodnie z przepisami krajowymi przyjętymi zgodnie z dyrektywą [...].</w:t>
      </w:r>
    </w:p>
    <w:p w:rsidR="009C2C57" w:rsidRDefault="00FA1C96">
      <w:pPr>
        <w:pStyle w:val="Titrearticle"/>
        <w:rPr>
          <w:i w:val="0"/>
          <w:noProof/>
        </w:rPr>
      </w:pPr>
      <w:r>
        <w:rPr>
          <w:noProof/>
        </w:rPr>
        <w:t>Artykuł 4</w:t>
      </w:r>
      <w:r>
        <w:rPr>
          <w:noProof/>
        </w:rPr>
        <w:br/>
        <w:t xml:space="preserve">Przywóz kopii w formacie umożliwiającym dostęp osobom niepełnosprawnym z państw trzecich </w:t>
      </w:r>
    </w:p>
    <w:p w:rsidR="009C2C57" w:rsidRDefault="00FA1C96">
      <w:pPr>
        <w:rPr>
          <w:noProof/>
        </w:rPr>
      </w:pPr>
      <w:r>
        <w:rPr>
          <w:noProof/>
        </w:rPr>
        <w:t>Beneficjent lub upoważniony podmiot mający siedzibę w państwie członkowskim może zgodnie z przepisami krajowymi przyjętymi zgodnie z dyrektywą [...] dokonywać przywozu lub w inny sposób uzyskiwać dostęp, a następnie wykorzystywać kopie w formacie umożliwiającym dostęp osobom niepełnosprawnym, które to kopie zostały rozpowszechnione, udostępnione lub podane do wiadomości beneficjentowi lub upoważnionemu podmiotowi przez upoważniony podmiot w państwie trzecim, będącym stroną traktatu z Marrakeszu.</w:t>
      </w:r>
    </w:p>
    <w:p w:rsidR="009C2C57" w:rsidRDefault="00FA1C96">
      <w:pPr>
        <w:pStyle w:val="Titrearticle"/>
        <w:rPr>
          <w:i w:val="0"/>
          <w:noProof/>
        </w:rPr>
      </w:pPr>
      <w:r>
        <w:rPr>
          <w:noProof/>
        </w:rPr>
        <w:t>Artykuł 5</w:t>
      </w:r>
      <w:r>
        <w:rPr>
          <w:noProof/>
        </w:rPr>
        <w:br/>
        <w:t>Obowiązki upoważnionych podmiotów</w:t>
      </w:r>
    </w:p>
    <w:p w:rsidR="009C2C57" w:rsidRDefault="00FA1C96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Upoważniony podmiot mający siedzibę w państwie członkowskim, wykonujący czynności, o których mowa w art. 3 i 4:</w:t>
      </w:r>
    </w:p>
    <w:p w:rsidR="009C2C57" w:rsidRDefault="00FA1C96">
      <w:pPr>
        <w:pStyle w:val="Point1letter"/>
        <w:rPr>
          <w:noProof/>
        </w:rPr>
      </w:pPr>
      <w:r>
        <w:rPr>
          <w:noProof/>
        </w:rPr>
        <w:t>zapewnia, aby kopie utworów w formacie umożliwiającym dostęp osobom niepełnosprawnym były rozpowszechniane wśród beneficjentów lub innych upoważnionych podmiotów, udostępniane im lub podawane do ich wiadomości;</w:t>
      </w:r>
    </w:p>
    <w:p w:rsidR="009C2C57" w:rsidRDefault="00FA1C96">
      <w:pPr>
        <w:pStyle w:val="Point1letter"/>
        <w:rPr>
          <w:noProof/>
        </w:rPr>
      </w:pPr>
      <w:r>
        <w:rPr>
          <w:noProof/>
        </w:rPr>
        <w:t>podejmuje odpowiednie kroki w celu zniechęcenia do bezprawnego zwielokrotniania, rozpowszechniania, udostępniania i podawania do wiadomości kopii utworów w formacie umożliwiającym dostęp osobom niepełnosprawnym;</w:t>
      </w:r>
    </w:p>
    <w:p w:rsidR="009C2C57" w:rsidRDefault="00FA1C96">
      <w:pPr>
        <w:pStyle w:val="Point1letter"/>
        <w:rPr>
          <w:noProof/>
        </w:rPr>
      </w:pPr>
      <w:r>
        <w:rPr>
          <w:noProof/>
        </w:rPr>
        <w:t>wykazuje należytą staranność w postępowaniu z utworami i innymi przedmiotami objętymi ochroną oraz ich kopiami w formacie umożliwiającym dostęp osobom niepełnosprawnym i prowadzi stosowny rejestr oraz</w:t>
      </w:r>
    </w:p>
    <w:p w:rsidR="009C2C57" w:rsidRDefault="00FA1C96">
      <w:pPr>
        <w:pStyle w:val="Point1letter"/>
        <w:rPr>
          <w:noProof/>
        </w:rPr>
      </w:pPr>
      <w:r>
        <w:rPr>
          <w:noProof/>
        </w:rPr>
        <w:t>publikuje na swojej stronie internetowej i aktualizuje, w stosownych przypadkach, informacje dotyczące sposobu, w jaki spełnia wymogi określone w lit. a) – c).</w:t>
      </w:r>
    </w:p>
    <w:p w:rsidR="009C2C57" w:rsidRDefault="00FA1C96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Upoważniony podmiot mający siedzibę w państwie członkowskim, wykonujący czynności, o których mowa w art. 3 i 4, dostarcza, na żądanie, każdemu beneficjentowi lub podmiotowi prawa autorskiego następujące informacje:</w:t>
      </w:r>
    </w:p>
    <w:p w:rsidR="009C2C57" w:rsidRDefault="00FA1C96">
      <w:pPr>
        <w:pStyle w:val="Point1letter"/>
        <w:numPr>
          <w:ilvl w:val="3"/>
          <w:numId w:val="1"/>
        </w:numPr>
        <w:rPr>
          <w:noProof/>
        </w:rPr>
      </w:pPr>
      <w:r>
        <w:rPr>
          <w:noProof/>
        </w:rPr>
        <w:t>wykaz utworów i innych przedmiotów objętych ochroną, których kopie w formacie umożliwiającym dostęp osobom niepełnosprawnym posiada, oraz informację o dostępnych formatach oraz</w:t>
      </w:r>
    </w:p>
    <w:p w:rsidR="009C2C57" w:rsidRDefault="00FA1C96">
      <w:pPr>
        <w:pStyle w:val="Point1letter"/>
        <w:rPr>
          <w:noProof/>
        </w:rPr>
      </w:pPr>
      <w:r>
        <w:rPr>
          <w:noProof/>
        </w:rPr>
        <w:t>nazwę i szczegółowe dane upoważnionych podmiotów, z którymi prowadzi wymianę kopii w formatach umożliwiających dostęp osobom niepełnosprawnym zgodnie z art. 3 i 4.</w:t>
      </w:r>
    </w:p>
    <w:p w:rsidR="009C2C57" w:rsidRDefault="00FA1C96">
      <w:pPr>
        <w:pStyle w:val="Titrearticle"/>
        <w:rPr>
          <w:noProof/>
        </w:rPr>
      </w:pPr>
      <w:r>
        <w:rPr>
          <w:noProof/>
        </w:rPr>
        <w:t>Artykuł 6</w:t>
      </w:r>
      <w:r>
        <w:rPr>
          <w:noProof/>
        </w:rPr>
        <w:br/>
        <w:t>Ochrona danych osobowych</w:t>
      </w:r>
    </w:p>
    <w:p w:rsidR="009C2C57" w:rsidRDefault="00FA1C96">
      <w:pPr>
        <w:rPr>
          <w:noProof/>
        </w:rPr>
      </w:pPr>
      <w:r>
        <w:rPr>
          <w:noProof/>
        </w:rPr>
        <w:t>Przetwarzanie danych osobowych prowadzone w ramach niniejszego rozporządzenia musi być zgodne z przepisami dyrektywy 95/46/WE.</w:t>
      </w:r>
    </w:p>
    <w:p w:rsidR="009C2C57" w:rsidRDefault="00FA1C96">
      <w:pPr>
        <w:pStyle w:val="Titrearticle"/>
        <w:rPr>
          <w:noProof/>
        </w:rPr>
      </w:pPr>
      <w:r>
        <w:rPr>
          <w:noProof/>
        </w:rPr>
        <w:t>Artykuł 7</w:t>
      </w:r>
      <w:r>
        <w:rPr>
          <w:noProof/>
        </w:rPr>
        <w:br/>
        <w:t>Przegląd</w:t>
      </w:r>
    </w:p>
    <w:p w:rsidR="009C2C57" w:rsidRDefault="00FA1C96">
      <w:pPr>
        <w:rPr>
          <w:noProof/>
        </w:rPr>
      </w:pPr>
      <w:r>
        <w:rPr>
          <w:noProof/>
        </w:rPr>
        <w:t>Nie wcześniej niż [pięć lat od daty rozpoczęcia stosowania] Komisja przeprowadzi ocenę niniejszego rozporządzenia i przedstawi główne wnioski Parlamentowi Europejskiemu, Radzie oraz Europejskiemu Komitetowi Ekonomiczno-Społecznemu, w stosownych przypadkach wraz z wnioskami dotyczącymi zmiany rozporządzenia.</w:t>
      </w:r>
    </w:p>
    <w:p w:rsidR="009C2C57" w:rsidRDefault="00FA1C96">
      <w:pPr>
        <w:rPr>
          <w:noProof/>
        </w:rPr>
      </w:pPr>
      <w:r>
        <w:rPr>
          <w:noProof/>
        </w:rPr>
        <w:t>Państwa członkowskie dostarczają Komisji niezbędnych informacji potrzebnych do przygotowania sprawozdania z oceny.</w:t>
      </w:r>
    </w:p>
    <w:p w:rsidR="009C2C57" w:rsidRDefault="00FA1C96">
      <w:pPr>
        <w:pStyle w:val="Titrearticle"/>
        <w:rPr>
          <w:noProof/>
        </w:rPr>
      </w:pPr>
      <w:r>
        <w:rPr>
          <w:noProof/>
        </w:rPr>
        <w:t>Artykuł 8</w:t>
      </w:r>
      <w:r>
        <w:rPr>
          <w:noProof/>
        </w:rPr>
        <w:br/>
        <w:t>Wejście w życie</w:t>
      </w:r>
    </w:p>
    <w:p w:rsidR="009C2C57" w:rsidRDefault="00FA1C96">
      <w:pPr>
        <w:rPr>
          <w:noProof/>
        </w:rPr>
      </w:pPr>
      <w:r>
        <w:rPr>
          <w:noProof/>
        </w:rPr>
        <w:t xml:space="preserve">Niniejsze rozporządzenie wchodzi w życie dwudziestego dnia po jego opublikowaniu w </w:t>
      </w:r>
      <w:r>
        <w:rPr>
          <w:i/>
          <w:noProof/>
        </w:rPr>
        <w:t>Dzienniku Urzędowym Unii Europejskiej</w:t>
      </w:r>
      <w:r>
        <w:rPr>
          <w:noProof/>
        </w:rPr>
        <w:t>.</w:t>
      </w:r>
    </w:p>
    <w:p w:rsidR="009C2C57" w:rsidRDefault="00FA1C96">
      <w:pPr>
        <w:pStyle w:val="Titrearticle"/>
        <w:rPr>
          <w:noProof/>
        </w:rPr>
      </w:pPr>
      <w:r>
        <w:rPr>
          <w:noProof/>
        </w:rPr>
        <w:t>Artykuł 9</w:t>
      </w:r>
      <w:r>
        <w:rPr>
          <w:noProof/>
        </w:rPr>
        <w:br/>
        <w:t>Stosowanie</w:t>
      </w:r>
    </w:p>
    <w:p w:rsidR="009C2C57" w:rsidRDefault="00FA1C96">
      <w:pPr>
        <w:pStyle w:val="Applicationdirecte"/>
        <w:rPr>
          <w:noProof/>
        </w:rPr>
      </w:pPr>
      <w:r>
        <w:rPr>
          <w:noProof/>
        </w:rPr>
        <w:t>Niniejsze rozporządzenie stosuje się od dnia [date of transposition of Directive [...] r.]</w:t>
      </w:r>
    </w:p>
    <w:p w:rsidR="009C2C57" w:rsidRDefault="00FA1C96">
      <w:pPr>
        <w:pStyle w:val="Applicationdirecte"/>
        <w:rPr>
          <w:noProof/>
        </w:rPr>
      </w:pPr>
      <w:r>
        <w:rPr>
          <w:noProof/>
        </w:rPr>
        <w:t>Niniejsze rozporządzenie wiąże w całości i jest bezpośrednio stosowane we wszystkich państwach członkowskich.</w:t>
      </w:r>
    </w:p>
    <w:p w:rsidR="009C2C57" w:rsidRDefault="00FA1C96" w:rsidP="00FA1C96">
      <w:pPr>
        <w:pStyle w:val="Fait"/>
        <w:rPr>
          <w:noProof/>
        </w:rPr>
      </w:pPr>
      <w:r w:rsidRPr="00FA1C96">
        <w:t xml:space="preserve">Sporządzono w Brukseli dnia </w:t>
      </w:r>
      <w:r w:rsidRPr="00FA1C96">
        <w:rPr>
          <w:rStyle w:val="Marker2"/>
        </w:rPr>
        <w:t>[…]</w:t>
      </w:r>
      <w:r w:rsidRPr="00FA1C96">
        <w:t xml:space="preserve"> r.</w:t>
      </w:r>
    </w:p>
    <w:p w:rsidR="009C2C57" w:rsidRDefault="00FA1C96">
      <w:pPr>
        <w:pStyle w:val="Institutionquisigne"/>
        <w:rPr>
          <w:noProof/>
        </w:rPr>
      </w:pPr>
      <w:r>
        <w:rPr>
          <w:noProof/>
        </w:rPr>
        <w:t>W imieniu Parlamentu Europejskiego</w:t>
      </w:r>
      <w:r>
        <w:rPr>
          <w:noProof/>
        </w:rPr>
        <w:tab/>
        <w:t>W imieniu Rady</w:t>
      </w:r>
    </w:p>
    <w:p w:rsidR="009C2C57" w:rsidRDefault="00FA1C96">
      <w:pPr>
        <w:pStyle w:val="Personnequisigne"/>
        <w:rPr>
          <w:noProof/>
        </w:rPr>
      </w:pPr>
      <w:r>
        <w:rPr>
          <w:noProof/>
        </w:rPr>
        <w:t>Przewodniczący</w:t>
      </w:r>
      <w:r>
        <w:rPr>
          <w:noProof/>
        </w:rPr>
        <w:tab/>
        <w:t>Przewodniczący</w:t>
      </w:r>
    </w:p>
    <w:sectPr w:rsidR="009C2C57" w:rsidSect="00FA1C96"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5EE" w:rsidRDefault="00BC55EE">
      <w:pPr>
        <w:spacing w:before="0" w:after="0"/>
      </w:pPr>
      <w:r>
        <w:separator/>
      </w:r>
    </w:p>
  </w:endnote>
  <w:endnote w:type="continuationSeparator" w:id="0">
    <w:p w:rsidR="00BC55EE" w:rsidRDefault="00BC55E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96" w:rsidRPr="00FA1C96" w:rsidRDefault="00FA1C96" w:rsidP="00FA1C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96" w:rsidRPr="00FA1C96" w:rsidRDefault="00FA1C96" w:rsidP="00FA1C96">
    <w:pPr>
      <w:pStyle w:val="Stopka"/>
      <w:rPr>
        <w:rFonts w:ascii="Arial" w:hAnsi="Arial" w:cs="Arial"/>
        <w:b/>
        <w:sz w:val="48"/>
      </w:rPr>
    </w:pPr>
    <w:r w:rsidRPr="00FA1C96">
      <w:rPr>
        <w:rFonts w:ascii="Arial" w:hAnsi="Arial" w:cs="Arial"/>
        <w:b/>
        <w:sz w:val="48"/>
      </w:rPr>
      <w:t>PL</w:t>
    </w:r>
    <w:r w:rsidRPr="00FA1C96">
      <w:rPr>
        <w:rFonts w:ascii="Arial" w:hAnsi="Arial" w:cs="Arial"/>
        <w:b/>
        <w:sz w:val="48"/>
      </w:rPr>
      <w:tab/>
    </w:r>
    <w:r w:rsidRPr="00FA1C96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FA1C96">
      <w:tab/>
    </w:r>
    <w:r w:rsidRPr="00FA1C96"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96" w:rsidRPr="00FA1C96" w:rsidRDefault="00FA1C96" w:rsidP="00FA1C9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96" w:rsidRPr="00FA1C96" w:rsidRDefault="00FA1C96" w:rsidP="00FA1C96">
    <w:pPr>
      <w:pStyle w:val="Stopka"/>
      <w:rPr>
        <w:rFonts w:ascii="Arial" w:hAnsi="Arial" w:cs="Arial"/>
        <w:b/>
        <w:sz w:val="48"/>
      </w:rPr>
    </w:pPr>
    <w:r w:rsidRPr="00FA1C96">
      <w:rPr>
        <w:rFonts w:ascii="Arial" w:hAnsi="Arial" w:cs="Arial"/>
        <w:b/>
        <w:sz w:val="48"/>
      </w:rPr>
      <w:t>PL</w:t>
    </w:r>
    <w:r w:rsidRPr="00FA1C96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8658FF">
      <w:rPr>
        <w:noProof/>
      </w:rPr>
      <w:t>2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FA1C96">
      <w:tab/>
    </w:r>
    <w:r w:rsidRPr="00FA1C96"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96" w:rsidRPr="00FA1C96" w:rsidRDefault="00FA1C96" w:rsidP="00FA1C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5EE" w:rsidRDefault="00BC55EE">
      <w:pPr>
        <w:spacing w:before="0" w:after="0"/>
      </w:pPr>
      <w:r>
        <w:separator/>
      </w:r>
    </w:p>
  </w:footnote>
  <w:footnote w:type="continuationSeparator" w:id="0">
    <w:p w:rsidR="00BC55EE" w:rsidRDefault="00BC55EE">
      <w:pPr>
        <w:spacing w:before="0" w:after="0"/>
      </w:pPr>
      <w:r>
        <w:continuationSeparator/>
      </w:r>
    </w:p>
  </w:footnote>
  <w:footnote w:id="1">
    <w:p w:rsidR="009C2C57" w:rsidRDefault="00FA1C96">
      <w:pPr>
        <w:pStyle w:val="Tekstprzypisudolnego"/>
      </w:pPr>
      <w:r>
        <w:rPr>
          <w:rStyle w:val="Odwoanieprzypisudolnego"/>
        </w:rPr>
        <w:footnoteRef/>
      </w:r>
      <w:r>
        <w:tab/>
        <w:t>Decyzja Rady 2014/221/UE z dnia 14 kwietnia 2014 r. w sprawie podpisania, w imieniu Unii Europejskiej, Traktatu z Marrakeszu o ułatwieniu dostępu do opublikowanych utworów osobom niewidomym, niedowidzącym i cierpiącym na inne zaburzenia odczytu druku (Dz.U. L 115 z 17.4.2014, s.1).</w:t>
      </w:r>
    </w:p>
  </w:footnote>
  <w:footnote w:id="2">
    <w:p w:rsidR="009C2C57" w:rsidRDefault="00FA1C96">
      <w:pPr>
        <w:pStyle w:val="Tekstprzypisudolnego"/>
      </w:pPr>
      <w:r>
        <w:rPr>
          <w:rStyle w:val="Odwoanieprzypisudolnego"/>
        </w:rPr>
        <w:footnoteRef/>
      </w:r>
      <w:r>
        <w:tab/>
        <w:t xml:space="preserve">LISU dla Royal National Institute of Blind People (RNIB, Królewski Narodowy Instytut Niewidomych), </w:t>
      </w:r>
      <w:r>
        <w:rPr>
          <w:i/>
        </w:rPr>
        <w:t>Availability of accessible publications – 2011 update</w:t>
      </w:r>
      <w:r>
        <w:t xml:space="preserve"> (Dostępność publikacji w formatach umożliwiających dostęp osobom niepełnosprawnym – aktualizacja 2011 r.), październik 2011 r.</w:t>
      </w:r>
    </w:p>
  </w:footnote>
  <w:footnote w:id="3">
    <w:p w:rsidR="009C2C57" w:rsidRDefault="00FA1C96">
      <w:pPr>
        <w:pStyle w:val="Tekstprzypisudolnego"/>
      </w:pPr>
      <w:r>
        <w:rPr>
          <w:rStyle w:val="Odwoanieprzypisudolnego"/>
        </w:rPr>
        <w:footnoteRef/>
      </w:r>
      <w:r>
        <w:tab/>
      </w:r>
      <w:r>
        <w:rPr>
          <w:rStyle w:val="Odwoanieprzypisudolnego"/>
        </w:rPr>
        <w:footnoteRef/>
      </w:r>
      <w:r>
        <w:t xml:space="preserve">Catherine Meyer-Lereculeur, </w:t>
      </w:r>
      <w:r>
        <w:rPr>
          <w:i/>
        </w:rPr>
        <w:t>Exception ʻhandicapʼ au droit d’auteur et développement de l’offre de publications accessibles à l’ère numérique</w:t>
      </w:r>
      <w:r>
        <w:t xml:space="preserve"> [Wyjątek w prawie autorskim związany z niepełnosprawnością i oferta publikacji w formatach umożliwiających dostęp osobom niepełnosprawnym w erze cyfrowej], maj 2013 r.</w:t>
      </w:r>
    </w:p>
  </w:footnote>
  <w:footnote w:id="4">
    <w:p w:rsidR="009C2C57" w:rsidRDefault="00FA1C96">
      <w:pPr>
        <w:pStyle w:val="Tekstprzypisudolnego"/>
      </w:pPr>
      <w:r>
        <w:rPr>
          <w:rStyle w:val="Odwoanieprzypisudolnego"/>
        </w:rPr>
        <w:footnoteRef/>
      </w:r>
      <w:r>
        <w:tab/>
        <w:t>Dane odnoszą się do dostępności w niektórych, lecz nie wszystkich formatach umożliwiających dostęp osobom niepełnosprawnym.</w:t>
      </w:r>
    </w:p>
  </w:footnote>
  <w:footnote w:id="5">
    <w:p w:rsidR="009C2C57" w:rsidRDefault="00FA1C96">
      <w:pPr>
        <w:pStyle w:val="Tekstprzypisudolnego"/>
      </w:pPr>
      <w:r>
        <w:rPr>
          <w:rStyle w:val="Odwoanieprzypisudolnego"/>
        </w:rPr>
        <w:footnoteRef/>
      </w:r>
      <w:r>
        <w:tab/>
        <w:t>Decyzja Rady 2010/48/WE z dnia 26 listopada 2009 r. w sprawie zawarcia przez Wspólnotę Europejską Konwencji Narodów Zjednoczonych o prawach osób niepełnosprawnych (Dz.U. L 23 z 27.1.2010, s. 35).</w:t>
      </w:r>
    </w:p>
  </w:footnote>
  <w:footnote w:id="6">
    <w:p w:rsidR="009C2C57" w:rsidRDefault="00FA1C96">
      <w:pPr>
        <w:pStyle w:val="Tekstprzypisudolnego"/>
      </w:pPr>
      <w:r>
        <w:rPr>
          <w:rStyle w:val="Odwoanieprzypisudolnego"/>
        </w:rPr>
        <w:footnoteRef/>
      </w:r>
      <w:r>
        <w:tab/>
      </w:r>
      <w:r>
        <w:rPr>
          <w:rStyle w:val="Odwoanieprzypisudolnego"/>
        </w:rPr>
        <w:footnoteRef/>
      </w:r>
      <w:r>
        <w:t>CRPD/C/EU/CO/1, dostępne pod adresem: http://tbinternet.ohchr.org/Treaties/CRPD/Shared%20Documents/EUR/CRPD_C_EU_CO_1_21617_E.doc.</w:t>
      </w:r>
    </w:p>
  </w:footnote>
  <w:footnote w:id="7">
    <w:p w:rsidR="009C2C57" w:rsidRDefault="00FA1C96">
      <w:pPr>
        <w:pStyle w:val="Tekstprzypisudolnego"/>
      </w:pPr>
      <w:r>
        <w:rPr>
          <w:rStyle w:val="Odwoanieprzypisudolnego"/>
        </w:rPr>
        <w:footnoteRef/>
      </w:r>
      <w:r>
        <w:tab/>
      </w:r>
      <w:r>
        <w:rPr>
          <w:i/>
        </w:rPr>
        <w:t>Report on the responses to the Public Consultation on the Review of the EU Copyright Rules</w:t>
      </w:r>
      <w:r>
        <w:t xml:space="preserve"> [Sprawozdanie w sprawie odpowiedzi uzyskanych w wyniku konsultacji publicznych na temat przeglądu przepisów UE dotyczących praw autorskich], lipiec 2014 r., s. 61–63. </w:t>
      </w:r>
      <w:hyperlink r:id="rId1">
        <w:r>
          <w:rPr>
            <w:rStyle w:val="Hipercze"/>
          </w:rPr>
          <w:t>http://ec.europa.eu/internal_market/consultations/2013/copyright-rules/index_en.htm</w:t>
        </w:r>
      </w:hyperlink>
      <w:r>
        <w:t xml:space="preserve"> </w:t>
      </w:r>
    </w:p>
  </w:footnote>
  <w:footnote w:id="8">
    <w:p w:rsidR="009C2C57" w:rsidRDefault="00FA1C96">
      <w:pPr>
        <w:pStyle w:val="Tekstprzypisudolnego"/>
      </w:pPr>
      <w:r>
        <w:rPr>
          <w:rStyle w:val="Odwoanieprzypisudolnego"/>
        </w:rPr>
        <w:footnoteRef/>
      </w:r>
      <w:r>
        <w:tab/>
      </w:r>
      <w:r>
        <w:rPr>
          <w:i/>
        </w:rPr>
        <w:t xml:space="preserve">Study on the application of Directive 2001/29/EC on copyright and related rights in the information society </w:t>
      </w:r>
      <w:r>
        <w:t xml:space="preserve">[Badanie dotyczące stosowania dyrektywy 2001/29/WE w sprawie praw autorskich i pokrewnych w społeczeństwie informacyjnym], grudzień 2013 r., De Wolf and partners, dostępne pod adresem: </w:t>
      </w:r>
      <w:hyperlink r:id="rId2">
        <w:r>
          <w:rPr>
            <w:rStyle w:val="Hipercze"/>
          </w:rPr>
          <w:t>http://ec.europa.eu/internal_market/copyright/docs/studies/131216_study_en.pdf</w:t>
        </w:r>
      </w:hyperlink>
      <w:r>
        <w:t xml:space="preserve"> , s. 417 i następne.</w:t>
      </w:r>
    </w:p>
  </w:footnote>
  <w:footnote w:id="9">
    <w:p w:rsidR="009C2C57" w:rsidRDefault="00FA1C96">
      <w:pPr>
        <w:pStyle w:val="Tekstprzypisudolnego"/>
      </w:pPr>
      <w:r>
        <w:rPr>
          <w:rStyle w:val="Odwoanieprzypisudolnego"/>
        </w:rPr>
        <w:footnoteRef/>
      </w:r>
      <w:r>
        <w:tab/>
        <w:t>SWD(2015) 111 final.</w:t>
      </w:r>
    </w:p>
  </w:footnote>
  <w:footnote w:id="10">
    <w:p w:rsidR="009C2C57" w:rsidRDefault="00FA1C96">
      <w:pPr>
        <w:pStyle w:val="Tekstprzypisudolnego"/>
      </w:pPr>
      <w:r>
        <w:rPr>
          <w:rStyle w:val="Odwoanieprzypisudolnego"/>
        </w:rPr>
        <w:footnoteRef/>
      </w:r>
      <w:r>
        <w:tab/>
        <w:t xml:space="preserve">W art. 52 ust. 1 Karty dopuszcza się wprowadzenie ograniczeń w korzystaniu ze swobód gwarantowanych przez Kartę. Takie ograniczenia muszą (i) być ustanowione prawem oraz (ii) respektować istotę tych praw i wolności. Oznacza to, że (iii) ograniczenia można wprowadzać „z zastrzeżeniem zasady proporcjonalności” i „wyłącznie wtedy, gdy są konieczne i rzeczywiście odpowiadają celom interesu ogólnego uznawanym przez Unię lub potrzebom ochrony praw i wolności innych osób”. </w:t>
      </w:r>
    </w:p>
  </w:footnote>
  <w:footnote w:id="11">
    <w:p w:rsidR="009C2C57" w:rsidRDefault="00FA1C96">
      <w:pPr>
        <w:pStyle w:val="Tekstprzypisudolnego"/>
      </w:pPr>
      <w:r>
        <w:rPr>
          <w:rStyle w:val="Odwoanieprzypisudolnego"/>
        </w:rPr>
        <w:footnoteRef/>
      </w:r>
      <w:r>
        <w:tab/>
        <w:t>Dz.U. C 83 z 30.3.2010, s. 389.</w:t>
      </w:r>
    </w:p>
  </w:footnote>
  <w:footnote w:id="12">
    <w:p w:rsidR="009C2C57" w:rsidRDefault="00FA1C96">
      <w:pPr>
        <w:pStyle w:val="Tekstprzypisudolnego"/>
      </w:pPr>
      <w:r>
        <w:rPr>
          <w:rStyle w:val="Odwoanieprzypisudolnego"/>
        </w:rPr>
        <w:footnoteRef/>
      </w:r>
      <w:r>
        <w:tab/>
        <w:t>Decyzja Rady 2014/221/UE z dnia 14 kwietnia 2014 r. w sprawie podpisania, w imieniu Unii Europejskiej, Traktatu z Marrakeszu o ułatwieniu dostępu do opublikowanych utworów osobom niewidomym, niedowidzącym i cierpiącym na inne zaburzenia odczytu druku, (Dz.U. L 115 z 17.4.2014, s. 1).</w:t>
      </w:r>
    </w:p>
  </w:footnote>
  <w:footnote w:id="13">
    <w:p w:rsidR="009C2C57" w:rsidRDefault="00FA1C96">
      <w:pPr>
        <w:pStyle w:val="Tekstprzypisudolnego"/>
      </w:pPr>
      <w:r>
        <w:rPr>
          <w:rStyle w:val="Odwoanieprzypisudolnego"/>
        </w:rPr>
        <w:footnoteRef/>
      </w:r>
      <w:r>
        <w:tab/>
        <w:t>Dyrektywa 95/46/WE Parlamentu Europejskiego i Rady z dnia 24 października 1995 r. w sprawie ochrony osób fizycznych w zakresie przetwarzania danych osobowych i swobodnego przepływu tych danych (Dz.U. L 281 z 23.11.1995, s. 31).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96" w:rsidRPr="00FA1C96" w:rsidRDefault="00FA1C96" w:rsidP="00FA1C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96" w:rsidRPr="00FA1C96" w:rsidRDefault="00FA1C96" w:rsidP="00FA1C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96" w:rsidRPr="00FA1C96" w:rsidRDefault="00FA1C96" w:rsidP="00FA1C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56823F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42C72C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52A40E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C58153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62A32A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590F8F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B58117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FD81BE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10-03 09:49:3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CONFIDENCE" w:val=" "/>
    <w:docVar w:name="LW_CONST_RESTREINT_UE" w:val="RESTREINT UE/EU RESTRICTED"/>
    <w:docVar w:name="LW_CORRIGENDUM" w:val="&lt;UNUSED&gt;"/>
    <w:docVar w:name="LW_COVERPAGE_GUID" w:val="47B5504F23CA438A9B2488D841CD8BFB"/>
    <w:docVar w:name="LW_CROSSREFERENCE" w:val="&lt;UNUSED&gt;"/>
    <w:docVar w:name="LW_DocType" w:val="COM"/>
    <w:docVar w:name="LW_EMISSION" w:val="14.9.2016"/>
    <w:docVar w:name="LW_EMISSION_ISODATE" w:val="2016-09-14"/>
    <w:docVar w:name="LW_EMISSION_LOCATION" w:val="BRX"/>
    <w:docVar w:name="LW_EMISSION_PREFIX" w:val="Bruksela, dnia "/>
    <w:docVar w:name="LW_EMISSION_SUFFIX" w:val=" r."/>
    <w:docVar w:name="LW_ID_DOCMODEL" w:val="SJ-023"/>
    <w:docVar w:name="LW_ID_DOCSIGNATURE" w:val="SJ-023"/>
    <w:docVar w:name="LW_ID_DOCSTRUCTURE" w:val="COM/PL/ORG"/>
    <w:docVar w:name="LW_ID_DOCTYPE" w:val="SJ-023"/>
    <w:docVar w:name="LW_ID_STATUT" w:val="SJ-023"/>
    <w:docVar w:name="LW_INTERETEEE.CP" w:val="&lt;UNUSED&gt;"/>
    <w:docVar w:name="LW_LANGUE" w:val="PL"/>
    <w:docVar w:name="LW_MARKING" w:val="&lt;UNUSED&gt;"/>
    <w:docVar w:name="LW_NOM.INST" w:val="KOMISJA EUROPEJSK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279"/>
    <w:docVar w:name="LW_REF.II.NEW.CP_YEAR" w:val="2016"/>
    <w:docVar w:name="LW_REF.INST.NEW" w:val="COM"/>
    <w:docVar w:name="LW_REF.INST.NEW_ADOPTED" w:val="final"/>
    <w:docVar w:name="LW_REF.INST.NEW_TEXT" w:val="(2016) 595"/>
    <w:docVar w:name="LW_REF.INTERNE" w:val="&lt;UNUSED&gt;"/>
    <w:docVar w:name="LW_SOUS.TITRE.OBJ.CP" w:val="&lt;UNUSED&gt;"/>
    <w:docVar w:name="LW_STATUT.CP" w:val="Wniosek"/>
    <w:docVar w:name="LW_SUPERTITRE" w:val="&lt;UNUSED&gt;"/>
    <w:docVar w:name="LW_TITRE.OBJ.CP" w:val="w sprawie transgranicznej wymiany mi\u281?dzy Uni\u261? a pa\u324?stwami trzecimi kopii utworów w formacie umo\u380?liwiaj\u261?cym dost\u281?p osobom niepe\u322?nosprawnym do okre\u347?lonych utworów i innych przedmiotów chronionych prawem autorskim i prawami pokrewnym, z korzy\u347?ci\u261? dla osób niewidomych, s\u322?abowidz\u261?cych lub z innymi niepe\u322?nosprawno\u347?ciami uniemo\u380?liwiaj\u261?cymi zapoznawanie si\u281? z drukiem "/>
    <w:docVar w:name="LW_TYPE.DOC.CP" w:val="ROZPORZ\u260?DZENIE PARLAMENTU EUROPEJSKIEGO I RADY"/>
  </w:docVars>
  <w:rsids>
    <w:rsidRoot w:val="009C2C57"/>
    <w:rsid w:val="008658FF"/>
    <w:rsid w:val="009C2C57"/>
    <w:rsid w:val="00BC55EE"/>
    <w:rsid w:val="00E204F6"/>
    <w:rsid w:val="00FA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next w:val="Text1"/>
    <w:link w:val="Nagwek1Znak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Listapunktowana">
    <w:name w:val="List Bullet"/>
    <w:basedOn w:val="Normalny"/>
    <w:uiPriority w:val="99"/>
    <w:semiHidden/>
    <w:unhideWhenUsed/>
    <w:pPr>
      <w:numPr>
        <w:numId w:val="2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pPr>
      <w:numPr>
        <w:numId w:val="5"/>
      </w:numPr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semiHidden/>
    <w:unhideWhenUsed/>
    <w:pPr>
      <w:spacing w:after="0"/>
    </w:pPr>
  </w:style>
  <w:style w:type="paragraph" w:styleId="Listanumerowana">
    <w:name w:val="List Number"/>
    <w:basedOn w:val="Normalny"/>
    <w:uiPriority w:val="99"/>
    <w:semiHidden/>
    <w:unhideWhenUsed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pPr>
      <w:numPr>
        <w:numId w:val="9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A1C96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A1C96"/>
    <w:rPr>
      <w:rFonts w:ascii="Times New Roman" w:hAnsi="Times New Roman" w:cs="Times New Roman"/>
      <w:sz w:val="24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Nagwekspisutreci">
    <w:name w:val="TOC Heading"/>
    <w:basedOn w:val="Normalny"/>
    <w:next w:val="Normalny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Spistreci1">
    <w:name w:val="toc 1"/>
    <w:basedOn w:val="Normalny"/>
    <w:next w:val="Norma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2">
    <w:name w:val="toc 2"/>
    <w:basedOn w:val="Normalny"/>
    <w:next w:val="Norma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3">
    <w:name w:val="toc 3"/>
    <w:basedOn w:val="Normalny"/>
    <w:next w:val="Norma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4">
    <w:name w:val="toc 4"/>
    <w:basedOn w:val="Normalny"/>
    <w:next w:val="Norma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5">
    <w:name w:val="toc 5"/>
    <w:basedOn w:val="Normalny"/>
    <w:next w:val="Normalny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Spistreci6">
    <w:name w:val="toc 6"/>
    <w:basedOn w:val="Normalny"/>
    <w:next w:val="Normalny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Spistreci7">
    <w:name w:val="toc 7"/>
    <w:basedOn w:val="Normalny"/>
    <w:next w:val="Normalny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Spistreci8">
    <w:name w:val="toc 8"/>
    <w:basedOn w:val="Normalny"/>
    <w:next w:val="Normalny"/>
    <w:uiPriority w:val="39"/>
    <w:semiHidden/>
    <w:unhideWhenUsed/>
    <w:pPr>
      <w:tabs>
        <w:tab w:val="right" w:leader="dot" w:pos="9071"/>
      </w:tabs>
      <w:jc w:val="left"/>
    </w:pPr>
  </w:style>
  <w:style w:type="paragraph" w:styleId="Spistreci9">
    <w:name w:val="toc 9"/>
    <w:basedOn w:val="Normalny"/>
    <w:next w:val="Normalny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ny"/>
    <w:rsid w:val="00FA1C96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ny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ny"/>
    <w:pPr>
      <w:ind w:left="850"/>
    </w:pPr>
  </w:style>
  <w:style w:type="paragraph" w:customStyle="1" w:styleId="Text2">
    <w:name w:val="Text 2"/>
    <w:basedOn w:val="Normalny"/>
    <w:pPr>
      <w:ind w:left="1417"/>
    </w:pPr>
  </w:style>
  <w:style w:type="paragraph" w:customStyle="1" w:styleId="Text3">
    <w:name w:val="Text 3"/>
    <w:basedOn w:val="Normalny"/>
    <w:pPr>
      <w:ind w:left="1984"/>
    </w:pPr>
  </w:style>
  <w:style w:type="paragraph" w:customStyle="1" w:styleId="Text4">
    <w:name w:val="Text 4"/>
    <w:basedOn w:val="Normalny"/>
    <w:pPr>
      <w:ind w:left="2551"/>
    </w:pPr>
  </w:style>
  <w:style w:type="paragraph" w:customStyle="1" w:styleId="NormalCentered">
    <w:name w:val="Normal Centered"/>
    <w:basedOn w:val="Normalny"/>
    <w:pPr>
      <w:jc w:val="center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NormalRight">
    <w:name w:val="Normal Right"/>
    <w:basedOn w:val="Normalny"/>
    <w:pPr>
      <w:jc w:val="right"/>
    </w:pPr>
  </w:style>
  <w:style w:type="paragraph" w:customStyle="1" w:styleId="QuotedText">
    <w:name w:val="Quoted Text"/>
    <w:basedOn w:val="Normalny"/>
    <w:pPr>
      <w:ind w:left="1417"/>
    </w:pPr>
  </w:style>
  <w:style w:type="paragraph" w:customStyle="1" w:styleId="Point0">
    <w:name w:val="Point 0"/>
    <w:basedOn w:val="Normalny"/>
    <w:pPr>
      <w:ind w:left="850" w:hanging="850"/>
    </w:pPr>
  </w:style>
  <w:style w:type="paragraph" w:customStyle="1" w:styleId="Point1">
    <w:name w:val="Point 1"/>
    <w:basedOn w:val="Normalny"/>
    <w:pPr>
      <w:ind w:left="1417" w:hanging="567"/>
    </w:pPr>
  </w:style>
  <w:style w:type="paragraph" w:customStyle="1" w:styleId="Point2">
    <w:name w:val="Point 2"/>
    <w:basedOn w:val="Normalny"/>
    <w:pPr>
      <w:ind w:left="1984" w:hanging="567"/>
    </w:pPr>
  </w:style>
  <w:style w:type="paragraph" w:customStyle="1" w:styleId="Point3">
    <w:name w:val="Point 3"/>
    <w:basedOn w:val="Normalny"/>
    <w:pPr>
      <w:ind w:left="2551" w:hanging="567"/>
    </w:pPr>
  </w:style>
  <w:style w:type="paragraph" w:customStyle="1" w:styleId="Point4">
    <w:name w:val="Point 4"/>
    <w:basedOn w:val="Normalny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ny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ny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ny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ny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ny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ny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ny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ny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ny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ny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ny"/>
    <w:next w:val="Text1"/>
    <w:pPr>
      <w:numPr>
        <w:numId w:val="30"/>
      </w:numPr>
    </w:pPr>
  </w:style>
  <w:style w:type="paragraph" w:customStyle="1" w:styleId="NumPar2">
    <w:name w:val="NumPar 2"/>
    <w:basedOn w:val="Normalny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ny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ny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ny"/>
    <w:next w:val="Text1"/>
    <w:pPr>
      <w:ind w:left="850" w:hanging="850"/>
    </w:pPr>
  </w:style>
  <w:style w:type="paragraph" w:customStyle="1" w:styleId="ManualNumPar2">
    <w:name w:val="Manual NumPar 2"/>
    <w:basedOn w:val="Normalny"/>
    <w:next w:val="Text1"/>
    <w:pPr>
      <w:ind w:left="850" w:hanging="850"/>
    </w:pPr>
  </w:style>
  <w:style w:type="paragraph" w:customStyle="1" w:styleId="ManualNumPar3">
    <w:name w:val="Manual NumPar 3"/>
    <w:basedOn w:val="Normalny"/>
    <w:next w:val="Text1"/>
    <w:pPr>
      <w:ind w:left="850" w:hanging="850"/>
    </w:pPr>
  </w:style>
  <w:style w:type="paragraph" w:customStyle="1" w:styleId="ManualNumPar4">
    <w:name w:val="Manual NumPar 4"/>
    <w:basedOn w:val="Normalny"/>
    <w:next w:val="Text1"/>
    <w:pPr>
      <w:ind w:left="850" w:hanging="850"/>
    </w:pPr>
  </w:style>
  <w:style w:type="paragraph" w:customStyle="1" w:styleId="QuotedNumPar">
    <w:name w:val="Quoted NumPar"/>
    <w:basedOn w:val="Normalny"/>
    <w:pPr>
      <w:ind w:left="1417" w:hanging="567"/>
    </w:pPr>
  </w:style>
  <w:style w:type="paragraph" w:customStyle="1" w:styleId="ManualHeading1">
    <w:name w:val="Manual Heading 1"/>
    <w:basedOn w:val="Normalny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ny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ny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ny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ny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ny"/>
    <w:next w:val="Normalny"/>
    <w:pPr>
      <w:jc w:val="center"/>
    </w:pPr>
    <w:rPr>
      <w:b/>
    </w:rPr>
  </w:style>
  <w:style w:type="character" w:customStyle="1" w:styleId="Marker">
    <w:name w:val="Marker"/>
    <w:basedOn w:val="Domylnaczcionkaakapitu"/>
    <w:rPr>
      <w:color w:val="0000FF"/>
      <w:shd w:val="clear" w:color="auto" w:fill="auto"/>
    </w:rPr>
  </w:style>
  <w:style w:type="character" w:customStyle="1" w:styleId="Marker1">
    <w:name w:val="Marker1"/>
    <w:basedOn w:val="Domylnaczcionkaakapitu"/>
    <w:rPr>
      <w:color w:val="008000"/>
      <w:shd w:val="clear" w:color="auto" w:fill="auto"/>
    </w:rPr>
  </w:style>
  <w:style w:type="character" w:customStyle="1" w:styleId="Marker2">
    <w:name w:val="Marker2"/>
    <w:basedOn w:val="Domylnaczcionkaakapitu"/>
    <w:rPr>
      <w:color w:val="FF0000"/>
      <w:shd w:val="clear" w:color="auto" w:fill="auto"/>
    </w:rPr>
  </w:style>
  <w:style w:type="paragraph" w:customStyle="1" w:styleId="Point0number">
    <w:name w:val="Point 0 (number)"/>
    <w:basedOn w:val="Normalny"/>
    <w:pPr>
      <w:numPr>
        <w:numId w:val="32"/>
      </w:numPr>
    </w:pPr>
  </w:style>
  <w:style w:type="paragraph" w:customStyle="1" w:styleId="Point1number">
    <w:name w:val="Point 1 (number)"/>
    <w:basedOn w:val="Normalny"/>
    <w:pPr>
      <w:numPr>
        <w:ilvl w:val="2"/>
        <w:numId w:val="32"/>
      </w:numPr>
    </w:pPr>
  </w:style>
  <w:style w:type="paragraph" w:customStyle="1" w:styleId="Point2number">
    <w:name w:val="Point 2 (number)"/>
    <w:basedOn w:val="Normalny"/>
    <w:pPr>
      <w:numPr>
        <w:ilvl w:val="4"/>
        <w:numId w:val="32"/>
      </w:numPr>
    </w:pPr>
  </w:style>
  <w:style w:type="paragraph" w:customStyle="1" w:styleId="Point3number">
    <w:name w:val="Point 3 (number)"/>
    <w:basedOn w:val="Normalny"/>
    <w:pPr>
      <w:numPr>
        <w:ilvl w:val="6"/>
        <w:numId w:val="32"/>
      </w:numPr>
    </w:pPr>
  </w:style>
  <w:style w:type="paragraph" w:customStyle="1" w:styleId="Point0letter">
    <w:name w:val="Point 0 (letter)"/>
    <w:basedOn w:val="Normalny"/>
    <w:pPr>
      <w:numPr>
        <w:ilvl w:val="1"/>
        <w:numId w:val="32"/>
      </w:numPr>
    </w:pPr>
  </w:style>
  <w:style w:type="paragraph" w:customStyle="1" w:styleId="Point1letter">
    <w:name w:val="Point 1 (letter)"/>
    <w:basedOn w:val="Normalny"/>
    <w:pPr>
      <w:numPr>
        <w:ilvl w:val="3"/>
        <w:numId w:val="32"/>
      </w:numPr>
    </w:pPr>
  </w:style>
  <w:style w:type="paragraph" w:customStyle="1" w:styleId="Point2letter">
    <w:name w:val="Point 2 (letter)"/>
    <w:basedOn w:val="Normalny"/>
    <w:pPr>
      <w:numPr>
        <w:ilvl w:val="5"/>
        <w:numId w:val="32"/>
      </w:numPr>
    </w:pPr>
  </w:style>
  <w:style w:type="paragraph" w:customStyle="1" w:styleId="Point3letter">
    <w:name w:val="Point 3 (letter)"/>
    <w:basedOn w:val="Normalny"/>
    <w:pPr>
      <w:numPr>
        <w:ilvl w:val="7"/>
        <w:numId w:val="32"/>
      </w:numPr>
    </w:pPr>
  </w:style>
  <w:style w:type="paragraph" w:customStyle="1" w:styleId="Point4letter">
    <w:name w:val="Point 4 (letter)"/>
    <w:basedOn w:val="Normalny"/>
    <w:pPr>
      <w:numPr>
        <w:ilvl w:val="8"/>
        <w:numId w:val="32"/>
      </w:numPr>
    </w:pPr>
  </w:style>
  <w:style w:type="paragraph" w:customStyle="1" w:styleId="Bullet0">
    <w:name w:val="Bullet 0"/>
    <w:basedOn w:val="Normalny"/>
    <w:pPr>
      <w:numPr>
        <w:numId w:val="33"/>
      </w:numPr>
    </w:pPr>
  </w:style>
  <w:style w:type="paragraph" w:customStyle="1" w:styleId="Bullet1">
    <w:name w:val="Bullet 1"/>
    <w:basedOn w:val="Normalny"/>
    <w:pPr>
      <w:numPr>
        <w:numId w:val="34"/>
      </w:numPr>
    </w:pPr>
  </w:style>
  <w:style w:type="paragraph" w:customStyle="1" w:styleId="Bullet2">
    <w:name w:val="Bullet 2"/>
    <w:basedOn w:val="Normalny"/>
    <w:pPr>
      <w:numPr>
        <w:numId w:val="35"/>
      </w:numPr>
    </w:pPr>
  </w:style>
  <w:style w:type="paragraph" w:customStyle="1" w:styleId="Bullet3">
    <w:name w:val="Bullet 3"/>
    <w:basedOn w:val="Normalny"/>
    <w:pPr>
      <w:numPr>
        <w:numId w:val="36"/>
      </w:numPr>
    </w:pPr>
  </w:style>
  <w:style w:type="paragraph" w:customStyle="1" w:styleId="Bullet4">
    <w:name w:val="Bullet 4"/>
    <w:basedOn w:val="Normalny"/>
    <w:pPr>
      <w:numPr>
        <w:numId w:val="37"/>
      </w:numPr>
    </w:pPr>
  </w:style>
  <w:style w:type="paragraph" w:customStyle="1" w:styleId="Annexetitreexpos">
    <w:name w:val="Annexe titre (exposé)"/>
    <w:basedOn w:val="Normalny"/>
    <w:next w:val="Normalny"/>
    <w:pPr>
      <w:jc w:val="center"/>
    </w:pPr>
    <w:rPr>
      <w:b/>
      <w:u w:val="single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ny"/>
    <w:next w:val="Normalny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ny"/>
    <w:next w:val="Fait"/>
    <w:pPr>
      <w:spacing w:before="480"/>
    </w:pPr>
  </w:style>
  <w:style w:type="paragraph" w:customStyle="1" w:styleId="Avertissementtitre">
    <w:name w:val="Avertissement titre"/>
    <w:basedOn w:val="Normalny"/>
    <w:next w:val="Normalny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ny"/>
    <w:next w:val="Normalny"/>
    <w:pPr>
      <w:spacing w:before="360"/>
      <w:jc w:val="center"/>
    </w:pPr>
  </w:style>
  <w:style w:type="paragraph" w:customStyle="1" w:styleId="Confidentialit">
    <w:name w:val="Confidentialité"/>
    <w:basedOn w:val="Normalny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ny"/>
    <w:pPr>
      <w:numPr>
        <w:numId w:val="38"/>
      </w:numPr>
    </w:pPr>
  </w:style>
  <w:style w:type="paragraph" w:customStyle="1" w:styleId="Corrigendum">
    <w:name w:val="Corrigendum"/>
    <w:basedOn w:val="Normalny"/>
    <w:next w:val="Normalny"/>
    <w:pPr>
      <w:spacing w:before="0" w:after="240"/>
      <w:jc w:val="left"/>
    </w:pPr>
  </w:style>
  <w:style w:type="paragraph" w:customStyle="1" w:styleId="Datedadoption">
    <w:name w:val="Date d'adoption"/>
    <w:basedOn w:val="Normalny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ny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ny"/>
    <w:next w:val="Normalny"/>
    <w:pPr>
      <w:jc w:val="center"/>
    </w:pPr>
    <w:rPr>
      <w:b/>
      <w:u w:val="single"/>
    </w:rPr>
  </w:style>
  <w:style w:type="paragraph" w:customStyle="1" w:styleId="Fait">
    <w:name w:val="Fait à"/>
    <w:basedOn w:val="Normalny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ny"/>
    <w:next w:val="Titrearticle"/>
    <w:pPr>
      <w:keepNext/>
    </w:pPr>
  </w:style>
  <w:style w:type="paragraph" w:customStyle="1" w:styleId="Institutionquiagit">
    <w:name w:val="Institution qui agit"/>
    <w:basedOn w:val="Normalny"/>
    <w:next w:val="Normalny"/>
    <w:pPr>
      <w:keepNext/>
      <w:spacing w:before="600"/>
    </w:pPr>
  </w:style>
  <w:style w:type="paragraph" w:customStyle="1" w:styleId="Institutionquisigne">
    <w:name w:val="Institution qui signe"/>
    <w:basedOn w:val="Normalny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ny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ny"/>
    <w:pPr>
      <w:ind w:left="709" w:hanging="709"/>
    </w:pPr>
  </w:style>
  <w:style w:type="paragraph" w:customStyle="1" w:styleId="Nomdelinstitution">
    <w:name w:val="Nom de l'institution"/>
    <w:basedOn w:val="Normalny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ny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ny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ny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ny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ny"/>
    <w:pPr>
      <w:spacing w:before="0" w:after="0"/>
      <w:jc w:val="center"/>
    </w:pPr>
    <w:rPr>
      <w:b/>
    </w:rPr>
  </w:style>
  <w:style w:type="paragraph" w:customStyle="1" w:styleId="Statut">
    <w:name w:val="Statut"/>
    <w:basedOn w:val="Normalny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ny"/>
    <w:next w:val="Normalny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ny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ny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omylnaczcionkaakapitu"/>
    <w:rPr>
      <w:b/>
      <w:u w:val="single"/>
      <w:shd w:val="clear" w:color="auto" w:fill="auto"/>
    </w:rPr>
  </w:style>
  <w:style w:type="character" w:customStyle="1" w:styleId="Deleted">
    <w:name w:val="Deleted"/>
    <w:basedOn w:val="Domylnaczcionkaakapitu"/>
    <w:rPr>
      <w:strike/>
      <w:dstrike w:val="0"/>
      <w:shd w:val="clear" w:color="auto" w:fill="auto"/>
    </w:rPr>
  </w:style>
  <w:style w:type="paragraph" w:customStyle="1" w:styleId="Address">
    <w:name w:val="Address"/>
    <w:basedOn w:val="Normalny"/>
    <w:next w:val="Normalny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ny"/>
    <w:next w:val="Normalny"/>
    <w:rPr>
      <w:i/>
      <w:caps/>
    </w:rPr>
  </w:style>
  <w:style w:type="paragraph" w:customStyle="1" w:styleId="Pagedecouverture">
    <w:name w:val="Page de couverture"/>
    <w:basedOn w:val="Normalny"/>
    <w:next w:val="Normalny"/>
    <w:pPr>
      <w:spacing w:before="0" w:after="0"/>
    </w:pPr>
  </w:style>
  <w:style w:type="paragraph" w:customStyle="1" w:styleId="Supertitre">
    <w:name w:val="Supertitre"/>
    <w:basedOn w:val="Normalny"/>
    <w:next w:val="Normalny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ny"/>
    <w:next w:val="Normalny"/>
    <w:pPr>
      <w:spacing w:before="360" w:after="0"/>
      <w:jc w:val="center"/>
    </w:pPr>
  </w:style>
  <w:style w:type="paragraph" w:customStyle="1" w:styleId="Rfrencecroise">
    <w:name w:val="Référence croisée"/>
    <w:basedOn w:val="Normalny"/>
    <w:pPr>
      <w:spacing w:before="0" w:after="0"/>
      <w:jc w:val="center"/>
    </w:pPr>
  </w:style>
  <w:style w:type="paragraph" w:customStyle="1" w:styleId="Fichefinanciretitre">
    <w:name w:val="Fiche financière titre"/>
    <w:basedOn w:val="Normalny"/>
    <w:next w:val="Normalny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ny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ny"/>
    <w:pPr>
      <w:spacing w:after="240"/>
    </w:pPr>
  </w:style>
  <w:style w:type="paragraph" w:customStyle="1" w:styleId="Accompagnant">
    <w:name w:val="Accompagnant"/>
    <w:basedOn w:val="Normalny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ny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ny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ny"/>
    <w:next w:val="Normalny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next w:val="Text1"/>
    <w:link w:val="Nagwek1Znak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Listapunktowana">
    <w:name w:val="List Bullet"/>
    <w:basedOn w:val="Normalny"/>
    <w:uiPriority w:val="99"/>
    <w:semiHidden/>
    <w:unhideWhenUsed/>
    <w:pPr>
      <w:numPr>
        <w:numId w:val="2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pPr>
      <w:numPr>
        <w:numId w:val="5"/>
      </w:numPr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semiHidden/>
    <w:unhideWhenUsed/>
    <w:pPr>
      <w:spacing w:after="0"/>
    </w:pPr>
  </w:style>
  <w:style w:type="paragraph" w:styleId="Listanumerowana">
    <w:name w:val="List Number"/>
    <w:basedOn w:val="Normalny"/>
    <w:uiPriority w:val="99"/>
    <w:semiHidden/>
    <w:unhideWhenUsed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pPr>
      <w:numPr>
        <w:numId w:val="9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A1C96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A1C96"/>
    <w:rPr>
      <w:rFonts w:ascii="Times New Roman" w:hAnsi="Times New Roman" w:cs="Times New Roman"/>
      <w:sz w:val="24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Nagwekspisutreci">
    <w:name w:val="TOC Heading"/>
    <w:basedOn w:val="Normalny"/>
    <w:next w:val="Normalny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Spistreci1">
    <w:name w:val="toc 1"/>
    <w:basedOn w:val="Normalny"/>
    <w:next w:val="Norma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2">
    <w:name w:val="toc 2"/>
    <w:basedOn w:val="Normalny"/>
    <w:next w:val="Norma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3">
    <w:name w:val="toc 3"/>
    <w:basedOn w:val="Normalny"/>
    <w:next w:val="Norma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4">
    <w:name w:val="toc 4"/>
    <w:basedOn w:val="Normalny"/>
    <w:next w:val="Norma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5">
    <w:name w:val="toc 5"/>
    <w:basedOn w:val="Normalny"/>
    <w:next w:val="Normalny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Spistreci6">
    <w:name w:val="toc 6"/>
    <w:basedOn w:val="Normalny"/>
    <w:next w:val="Normalny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Spistreci7">
    <w:name w:val="toc 7"/>
    <w:basedOn w:val="Normalny"/>
    <w:next w:val="Normalny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Spistreci8">
    <w:name w:val="toc 8"/>
    <w:basedOn w:val="Normalny"/>
    <w:next w:val="Normalny"/>
    <w:uiPriority w:val="39"/>
    <w:semiHidden/>
    <w:unhideWhenUsed/>
    <w:pPr>
      <w:tabs>
        <w:tab w:val="right" w:leader="dot" w:pos="9071"/>
      </w:tabs>
      <w:jc w:val="left"/>
    </w:pPr>
  </w:style>
  <w:style w:type="paragraph" w:styleId="Spistreci9">
    <w:name w:val="toc 9"/>
    <w:basedOn w:val="Normalny"/>
    <w:next w:val="Normalny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ny"/>
    <w:rsid w:val="00FA1C96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ny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ny"/>
    <w:pPr>
      <w:ind w:left="850"/>
    </w:pPr>
  </w:style>
  <w:style w:type="paragraph" w:customStyle="1" w:styleId="Text2">
    <w:name w:val="Text 2"/>
    <w:basedOn w:val="Normalny"/>
    <w:pPr>
      <w:ind w:left="1417"/>
    </w:pPr>
  </w:style>
  <w:style w:type="paragraph" w:customStyle="1" w:styleId="Text3">
    <w:name w:val="Text 3"/>
    <w:basedOn w:val="Normalny"/>
    <w:pPr>
      <w:ind w:left="1984"/>
    </w:pPr>
  </w:style>
  <w:style w:type="paragraph" w:customStyle="1" w:styleId="Text4">
    <w:name w:val="Text 4"/>
    <w:basedOn w:val="Normalny"/>
    <w:pPr>
      <w:ind w:left="2551"/>
    </w:pPr>
  </w:style>
  <w:style w:type="paragraph" w:customStyle="1" w:styleId="NormalCentered">
    <w:name w:val="Normal Centered"/>
    <w:basedOn w:val="Normalny"/>
    <w:pPr>
      <w:jc w:val="center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NormalRight">
    <w:name w:val="Normal Right"/>
    <w:basedOn w:val="Normalny"/>
    <w:pPr>
      <w:jc w:val="right"/>
    </w:pPr>
  </w:style>
  <w:style w:type="paragraph" w:customStyle="1" w:styleId="QuotedText">
    <w:name w:val="Quoted Text"/>
    <w:basedOn w:val="Normalny"/>
    <w:pPr>
      <w:ind w:left="1417"/>
    </w:pPr>
  </w:style>
  <w:style w:type="paragraph" w:customStyle="1" w:styleId="Point0">
    <w:name w:val="Point 0"/>
    <w:basedOn w:val="Normalny"/>
    <w:pPr>
      <w:ind w:left="850" w:hanging="850"/>
    </w:pPr>
  </w:style>
  <w:style w:type="paragraph" w:customStyle="1" w:styleId="Point1">
    <w:name w:val="Point 1"/>
    <w:basedOn w:val="Normalny"/>
    <w:pPr>
      <w:ind w:left="1417" w:hanging="567"/>
    </w:pPr>
  </w:style>
  <w:style w:type="paragraph" w:customStyle="1" w:styleId="Point2">
    <w:name w:val="Point 2"/>
    <w:basedOn w:val="Normalny"/>
    <w:pPr>
      <w:ind w:left="1984" w:hanging="567"/>
    </w:pPr>
  </w:style>
  <w:style w:type="paragraph" w:customStyle="1" w:styleId="Point3">
    <w:name w:val="Point 3"/>
    <w:basedOn w:val="Normalny"/>
    <w:pPr>
      <w:ind w:left="2551" w:hanging="567"/>
    </w:pPr>
  </w:style>
  <w:style w:type="paragraph" w:customStyle="1" w:styleId="Point4">
    <w:name w:val="Point 4"/>
    <w:basedOn w:val="Normalny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ny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ny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ny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ny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ny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ny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ny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ny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ny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ny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ny"/>
    <w:next w:val="Text1"/>
    <w:pPr>
      <w:numPr>
        <w:numId w:val="30"/>
      </w:numPr>
    </w:pPr>
  </w:style>
  <w:style w:type="paragraph" w:customStyle="1" w:styleId="NumPar2">
    <w:name w:val="NumPar 2"/>
    <w:basedOn w:val="Normalny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ny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ny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ny"/>
    <w:next w:val="Text1"/>
    <w:pPr>
      <w:ind w:left="850" w:hanging="850"/>
    </w:pPr>
  </w:style>
  <w:style w:type="paragraph" w:customStyle="1" w:styleId="ManualNumPar2">
    <w:name w:val="Manual NumPar 2"/>
    <w:basedOn w:val="Normalny"/>
    <w:next w:val="Text1"/>
    <w:pPr>
      <w:ind w:left="850" w:hanging="850"/>
    </w:pPr>
  </w:style>
  <w:style w:type="paragraph" w:customStyle="1" w:styleId="ManualNumPar3">
    <w:name w:val="Manual NumPar 3"/>
    <w:basedOn w:val="Normalny"/>
    <w:next w:val="Text1"/>
    <w:pPr>
      <w:ind w:left="850" w:hanging="850"/>
    </w:pPr>
  </w:style>
  <w:style w:type="paragraph" w:customStyle="1" w:styleId="ManualNumPar4">
    <w:name w:val="Manual NumPar 4"/>
    <w:basedOn w:val="Normalny"/>
    <w:next w:val="Text1"/>
    <w:pPr>
      <w:ind w:left="850" w:hanging="850"/>
    </w:pPr>
  </w:style>
  <w:style w:type="paragraph" w:customStyle="1" w:styleId="QuotedNumPar">
    <w:name w:val="Quoted NumPar"/>
    <w:basedOn w:val="Normalny"/>
    <w:pPr>
      <w:ind w:left="1417" w:hanging="567"/>
    </w:pPr>
  </w:style>
  <w:style w:type="paragraph" w:customStyle="1" w:styleId="ManualHeading1">
    <w:name w:val="Manual Heading 1"/>
    <w:basedOn w:val="Normalny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ny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ny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ny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ny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ny"/>
    <w:next w:val="Normalny"/>
    <w:pPr>
      <w:jc w:val="center"/>
    </w:pPr>
    <w:rPr>
      <w:b/>
    </w:rPr>
  </w:style>
  <w:style w:type="character" w:customStyle="1" w:styleId="Marker">
    <w:name w:val="Marker"/>
    <w:basedOn w:val="Domylnaczcionkaakapitu"/>
    <w:rPr>
      <w:color w:val="0000FF"/>
      <w:shd w:val="clear" w:color="auto" w:fill="auto"/>
    </w:rPr>
  </w:style>
  <w:style w:type="character" w:customStyle="1" w:styleId="Marker1">
    <w:name w:val="Marker1"/>
    <w:basedOn w:val="Domylnaczcionkaakapitu"/>
    <w:rPr>
      <w:color w:val="008000"/>
      <w:shd w:val="clear" w:color="auto" w:fill="auto"/>
    </w:rPr>
  </w:style>
  <w:style w:type="character" w:customStyle="1" w:styleId="Marker2">
    <w:name w:val="Marker2"/>
    <w:basedOn w:val="Domylnaczcionkaakapitu"/>
    <w:rPr>
      <w:color w:val="FF0000"/>
      <w:shd w:val="clear" w:color="auto" w:fill="auto"/>
    </w:rPr>
  </w:style>
  <w:style w:type="paragraph" w:customStyle="1" w:styleId="Point0number">
    <w:name w:val="Point 0 (number)"/>
    <w:basedOn w:val="Normalny"/>
    <w:pPr>
      <w:numPr>
        <w:numId w:val="32"/>
      </w:numPr>
    </w:pPr>
  </w:style>
  <w:style w:type="paragraph" w:customStyle="1" w:styleId="Point1number">
    <w:name w:val="Point 1 (number)"/>
    <w:basedOn w:val="Normalny"/>
    <w:pPr>
      <w:numPr>
        <w:ilvl w:val="2"/>
        <w:numId w:val="32"/>
      </w:numPr>
    </w:pPr>
  </w:style>
  <w:style w:type="paragraph" w:customStyle="1" w:styleId="Point2number">
    <w:name w:val="Point 2 (number)"/>
    <w:basedOn w:val="Normalny"/>
    <w:pPr>
      <w:numPr>
        <w:ilvl w:val="4"/>
        <w:numId w:val="32"/>
      </w:numPr>
    </w:pPr>
  </w:style>
  <w:style w:type="paragraph" w:customStyle="1" w:styleId="Point3number">
    <w:name w:val="Point 3 (number)"/>
    <w:basedOn w:val="Normalny"/>
    <w:pPr>
      <w:numPr>
        <w:ilvl w:val="6"/>
        <w:numId w:val="32"/>
      </w:numPr>
    </w:pPr>
  </w:style>
  <w:style w:type="paragraph" w:customStyle="1" w:styleId="Point0letter">
    <w:name w:val="Point 0 (letter)"/>
    <w:basedOn w:val="Normalny"/>
    <w:pPr>
      <w:numPr>
        <w:ilvl w:val="1"/>
        <w:numId w:val="32"/>
      </w:numPr>
    </w:pPr>
  </w:style>
  <w:style w:type="paragraph" w:customStyle="1" w:styleId="Point1letter">
    <w:name w:val="Point 1 (letter)"/>
    <w:basedOn w:val="Normalny"/>
    <w:pPr>
      <w:numPr>
        <w:ilvl w:val="3"/>
        <w:numId w:val="32"/>
      </w:numPr>
    </w:pPr>
  </w:style>
  <w:style w:type="paragraph" w:customStyle="1" w:styleId="Point2letter">
    <w:name w:val="Point 2 (letter)"/>
    <w:basedOn w:val="Normalny"/>
    <w:pPr>
      <w:numPr>
        <w:ilvl w:val="5"/>
        <w:numId w:val="32"/>
      </w:numPr>
    </w:pPr>
  </w:style>
  <w:style w:type="paragraph" w:customStyle="1" w:styleId="Point3letter">
    <w:name w:val="Point 3 (letter)"/>
    <w:basedOn w:val="Normalny"/>
    <w:pPr>
      <w:numPr>
        <w:ilvl w:val="7"/>
        <w:numId w:val="32"/>
      </w:numPr>
    </w:pPr>
  </w:style>
  <w:style w:type="paragraph" w:customStyle="1" w:styleId="Point4letter">
    <w:name w:val="Point 4 (letter)"/>
    <w:basedOn w:val="Normalny"/>
    <w:pPr>
      <w:numPr>
        <w:ilvl w:val="8"/>
        <w:numId w:val="32"/>
      </w:numPr>
    </w:pPr>
  </w:style>
  <w:style w:type="paragraph" w:customStyle="1" w:styleId="Bullet0">
    <w:name w:val="Bullet 0"/>
    <w:basedOn w:val="Normalny"/>
    <w:pPr>
      <w:numPr>
        <w:numId w:val="33"/>
      </w:numPr>
    </w:pPr>
  </w:style>
  <w:style w:type="paragraph" w:customStyle="1" w:styleId="Bullet1">
    <w:name w:val="Bullet 1"/>
    <w:basedOn w:val="Normalny"/>
    <w:pPr>
      <w:numPr>
        <w:numId w:val="34"/>
      </w:numPr>
    </w:pPr>
  </w:style>
  <w:style w:type="paragraph" w:customStyle="1" w:styleId="Bullet2">
    <w:name w:val="Bullet 2"/>
    <w:basedOn w:val="Normalny"/>
    <w:pPr>
      <w:numPr>
        <w:numId w:val="35"/>
      </w:numPr>
    </w:pPr>
  </w:style>
  <w:style w:type="paragraph" w:customStyle="1" w:styleId="Bullet3">
    <w:name w:val="Bullet 3"/>
    <w:basedOn w:val="Normalny"/>
    <w:pPr>
      <w:numPr>
        <w:numId w:val="36"/>
      </w:numPr>
    </w:pPr>
  </w:style>
  <w:style w:type="paragraph" w:customStyle="1" w:styleId="Bullet4">
    <w:name w:val="Bullet 4"/>
    <w:basedOn w:val="Normalny"/>
    <w:pPr>
      <w:numPr>
        <w:numId w:val="37"/>
      </w:numPr>
    </w:pPr>
  </w:style>
  <w:style w:type="paragraph" w:customStyle="1" w:styleId="Annexetitreexpos">
    <w:name w:val="Annexe titre (exposé)"/>
    <w:basedOn w:val="Normalny"/>
    <w:next w:val="Normalny"/>
    <w:pPr>
      <w:jc w:val="center"/>
    </w:pPr>
    <w:rPr>
      <w:b/>
      <w:u w:val="single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ny"/>
    <w:next w:val="Normalny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ny"/>
    <w:next w:val="Fait"/>
    <w:pPr>
      <w:spacing w:before="480"/>
    </w:pPr>
  </w:style>
  <w:style w:type="paragraph" w:customStyle="1" w:styleId="Avertissementtitre">
    <w:name w:val="Avertissement titre"/>
    <w:basedOn w:val="Normalny"/>
    <w:next w:val="Normalny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ny"/>
    <w:next w:val="Normalny"/>
    <w:pPr>
      <w:spacing w:before="360"/>
      <w:jc w:val="center"/>
    </w:pPr>
  </w:style>
  <w:style w:type="paragraph" w:customStyle="1" w:styleId="Confidentialit">
    <w:name w:val="Confidentialité"/>
    <w:basedOn w:val="Normalny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ny"/>
    <w:pPr>
      <w:numPr>
        <w:numId w:val="38"/>
      </w:numPr>
    </w:pPr>
  </w:style>
  <w:style w:type="paragraph" w:customStyle="1" w:styleId="Corrigendum">
    <w:name w:val="Corrigendum"/>
    <w:basedOn w:val="Normalny"/>
    <w:next w:val="Normalny"/>
    <w:pPr>
      <w:spacing w:before="0" w:after="240"/>
      <w:jc w:val="left"/>
    </w:pPr>
  </w:style>
  <w:style w:type="paragraph" w:customStyle="1" w:styleId="Datedadoption">
    <w:name w:val="Date d'adoption"/>
    <w:basedOn w:val="Normalny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ny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ny"/>
    <w:next w:val="Normalny"/>
    <w:pPr>
      <w:jc w:val="center"/>
    </w:pPr>
    <w:rPr>
      <w:b/>
      <w:u w:val="single"/>
    </w:rPr>
  </w:style>
  <w:style w:type="paragraph" w:customStyle="1" w:styleId="Fait">
    <w:name w:val="Fait à"/>
    <w:basedOn w:val="Normalny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ny"/>
    <w:next w:val="Titrearticle"/>
    <w:pPr>
      <w:keepNext/>
    </w:pPr>
  </w:style>
  <w:style w:type="paragraph" w:customStyle="1" w:styleId="Institutionquiagit">
    <w:name w:val="Institution qui agit"/>
    <w:basedOn w:val="Normalny"/>
    <w:next w:val="Normalny"/>
    <w:pPr>
      <w:keepNext/>
      <w:spacing w:before="600"/>
    </w:pPr>
  </w:style>
  <w:style w:type="paragraph" w:customStyle="1" w:styleId="Institutionquisigne">
    <w:name w:val="Institution qui signe"/>
    <w:basedOn w:val="Normalny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ny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ny"/>
    <w:pPr>
      <w:ind w:left="709" w:hanging="709"/>
    </w:pPr>
  </w:style>
  <w:style w:type="paragraph" w:customStyle="1" w:styleId="Nomdelinstitution">
    <w:name w:val="Nom de l'institution"/>
    <w:basedOn w:val="Normalny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ny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ny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ny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ny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ny"/>
    <w:pPr>
      <w:spacing w:before="0" w:after="0"/>
      <w:jc w:val="center"/>
    </w:pPr>
    <w:rPr>
      <w:b/>
    </w:rPr>
  </w:style>
  <w:style w:type="paragraph" w:customStyle="1" w:styleId="Statut">
    <w:name w:val="Statut"/>
    <w:basedOn w:val="Normalny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ny"/>
    <w:next w:val="Normalny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ny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ny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omylnaczcionkaakapitu"/>
    <w:rPr>
      <w:b/>
      <w:u w:val="single"/>
      <w:shd w:val="clear" w:color="auto" w:fill="auto"/>
    </w:rPr>
  </w:style>
  <w:style w:type="character" w:customStyle="1" w:styleId="Deleted">
    <w:name w:val="Deleted"/>
    <w:basedOn w:val="Domylnaczcionkaakapitu"/>
    <w:rPr>
      <w:strike/>
      <w:dstrike w:val="0"/>
      <w:shd w:val="clear" w:color="auto" w:fill="auto"/>
    </w:rPr>
  </w:style>
  <w:style w:type="paragraph" w:customStyle="1" w:styleId="Address">
    <w:name w:val="Address"/>
    <w:basedOn w:val="Normalny"/>
    <w:next w:val="Normalny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ny"/>
    <w:next w:val="Normalny"/>
    <w:rPr>
      <w:i/>
      <w:caps/>
    </w:rPr>
  </w:style>
  <w:style w:type="paragraph" w:customStyle="1" w:styleId="Pagedecouverture">
    <w:name w:val="Page de couverture"/>
    <w:basedOn w:val="Normalny"/>
    <w:next w:val="Normalny"/>
    <w:pPr>
      <w:spacing w:before="0" w:after="0"/>
    </w:pPr>
  </w:style>
  <w:style w:type="paragraph" w:customStyle="1" w:styleId="Supertitre">
    <w:name w:val="Supertitre"/>
    <w:basedOn w:val="Normalny"/>
    <w:next w:val="Normalny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ny"/>
    <w:next w:val="Normalny"/>
    <w:pPr>
      <w:spacing w:before="360" w:after="0"/>
      <w:jc w:val="center"/>
    </w:pPr>
  </w:style>
  <w:style w:type="paragraph" w:customStyle="1" w:styleId="Rfrencecroise">
    <w:name w:val="Référence croisée"/>
    <w:basedOn w:val="Normalny"/>
    <w:pPr>
      <w:spacing w:before="0" w:after="0"/>
      <w:jc w:val="center"/>
    </w:pPr>
  </w:style>
  <w:style w:type="paragraph" w:customStyle="1" w:styleId="Fichefinanciretitre">
    <w:name w:val="Fiche financière titre"/>
    <w:basedOn w:val="Normalny"/>
    <w:next w:val="Normalny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ny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ny"/>
    <w:pPr>
      <w:spacing w:after="240"/>
    </w:pPr>
  </w:style>
  <w:style w:type="paragraph" w:customStyle="1" w:styleId="Accompagnant">
    <w:name w:val="Accompagnant"/>
    <w:basedOn w:val="Normalny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ny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ny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ny"/>
    <w:next w:val="Normalny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internal_market/copyright/docs/studies/131216_study_en.pdf" TargetMode="External"/><Relationship Id="rId1" Type="http://schemas.openxmlformats.org/officeDocument/2006/relationships/hyperlink" Target="http://ec.europa.eu/internal_market/consultations/2013/copyright-rules/index_en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dhwna\AppData\Roaming\Microsoft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</Template>
  <TotalTime>1</TotalTime>
  <Pages>4</Pages>
  <Words>3860</Words>
  <Characters>23163</Characters>
  <Application>Microsoft Office Word</Application>
  <DocSecurity>0</DocSecurity>
  <Lines>193</Lines>
  <Paragraphs>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Floriańczyk Izabela</dc:creator>
  <cp:lastModifiedBy>Maria Andrzejewska</cp:lastModifiedBy>
  <cp:revision>2</cp:revision>
  <cp:lastPrinted>2016-09-08T11:52:00Z</cp:lastPrinted>
  <dcterms:created xsi:type="dcterms:W3CDTF">2016-10-06T09:37:00Z</dcterms:created>
  <dcterms:modified xsi:type="dcterms:W3CDTF">2016-10-06T09:37:00Z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SJ-023</vt:lpwstr>
  </property>
  <property fmtid="{D5CDD505-2E9C-101B-9397-08002B2CF9AE}" pid="10" name="DQCStatus">
    <vt:lpwstr>Yellow (DQC version 03)</vt:lpwstr>
  </property>
</Properties>
</file>