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5B" w:rsidRDefault="0095325B" w:rsidP="003E1358">
      <w:pPr>
        <w:spacing w:after="120"/>
        <w:jc w:val="center"/>
        <w:rPr>
          <w:rFonts w:ascii="Times New Roman" w:hAnsi="Times New Roman" w:cs="Times New Roman"/>
          <w:b/>
          <w:sz w:val="24"/>
          <w:szCs w:val="24"/>
        </w:rPr>
      </w:pPr>
    </w:p>
    <w:p w:rsidR="0052409B" w:rsidRPr="002B7028" w:rsidRDefault="009210D3" w:rsidP="00F76AC1">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 U</w:t>
      </w:r>
      <w:r w:rsidR="004C56C8" w:rsidRPr="002B7028">
        <w:rPr>
          <w:rFonts w:ascii="Times New Roman" w:hAnsi="Times New Roman" w:cs="Times New Roman"/>
          <w:b/>
          <w:sz w:val="24"/>
          <w:szCs w:val="24"/>
        </w:rPr>
        <w:t>wag</w:t>
      </w:r>
      <w:r>
        <w:rPr>
          <w:rFonts w:ascii="Times New Roman" w:hAnsi="Times New Roman" w:cs="Times New Roman"/>
          <w:b/>
          <w:sz w:val="24"/>
          <w:szCs w:val="24"/>
        </w:rPr>
        <w:t>i</w:t>
      </w:r>
      <w:r w:rsidR="004C56C8" w:rsidRPr="002B7028">
        <w:rPr>
          <w:rFonts w:ascii="Times New Roman" w:hAnsi="Times New Roman" w:cs="Times New Roman"/>
          <w:b/>
          <w:sz w:val="24"/>
          <w:szCs w:val="24"/>
        </w:rPr>
        <w:t xml:space="preserve"> KRRiT do </w:t>
      </w:r>
      <w:r w:rsidR="00C05843">
        <w:rPr>
          <w:rFonts w:ascii="Times New Roman" w:hAnsi="Times New Roman" w:cs="Times New Roman"/>
          <w:b/>
          <w:sz w:val="24"/>
          <w:szCs w:val="24"/>
        </w:rPr>
        <w:t xml:space="preserve">projektu nowelizacji Dyrektywy </w:t>
      </w:r>
      <w:r w:rsidR="00F76AC1">
        <w:rPr>
          <w:rFonts w:ascii="Times New Roman" w:hAnsi="Times New Roman" w:cs="Times New Roman"/>
          <w:b/>
          <w:sz w:val="24"/>
          <w:szCs w:val="24"/>
        </w:rPr>
        <w:t xml:space="preserve">2010/13/UE </w:t>
      </w:r>
      <w:r w:rsidR="00C05843">
        <w:rPr>
          <w:rFonts w:ascii="Times New Roman" w:hAnsi="Times New Roman" w:cs="Times New Roman"/>
          <w:b/>
          <w:sz w:val="24"/>
          <w:szCs w:val="24"/>
        </w:rPr>
        <w:t>o audio</w:t>
      </w:r>
      <w:r w:rsidR="00F76AC1">
        <w:rPr>
          <w:rFonts w:ascii="Times New Roman" w:hAnsi="Times New Roman" w:cs="Times New Roman"/>
          <w:b/>
          <w:sz w:val="24"/>
          <w:szCs w:val="24"/>
        </w:rPr>
        <w:t xml:space="preserve">wizualnych usługach medialnych </w:t>
      </w:r>
    </w:p>
    <w:p w:rsidR="004C56C8" w:rsidRPr="00D14335" w:rsidRDefault="004C56C8" w:rsidP="003E1358">
      <w:pPr>
        <w:spacing w:after="120"/>
        <w:jc w:val="center"/>
        <w:rPr>
          <w:rFonts w:ascii="Times New Roman" w:hAnsi="Times New Roman" w:cs="Times New Roman"/>
          <w:b/>
          <w:sz w:val="24"/>
          <w:szCs w:val="24"/>
        </w:rPr>
      </w:pPr>
    </w:p>
    <w:p w:rsidR="004C56C8" w:rsidRDefault="00C05843"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t>Z</w:t>
      </w:r>
      <w:r w:rsidRPr="00805AFF">
        <w:rPr>
          <w:rFonts w:ascii="Times New Roman" w:hAnsi="Times New Roman" w:cs="Times New Roman"/>
          <w:b/>
          <w:sz w:val="24"/>
          <w:szCs w:val="24"/>
        </w:rPr>
        <w:t>większenie roli organów regulacyjnych sektora audiowizualnego</w:t>
      </w:r>
      <w:r w:rsidRPr="00D14335">
        <w:rPr>
          <w:rFonts w:ascii="Times New Roman" w:hAnsi="Times New Roman" w:cs="Times New Roman"/>
          <w:b/>
          <w:sz w:val="24"/>
          <w:szCs w:val="24"/>
        </w:rPr>
        <w:t xml:space="preserve"> </w:t>
      </w:r>
    </w:p>
    <w:p w:rsidR="003E1358" w:rsidRPr="003D412B" w:rsidRDefault="00F76AC1" w:rsidP="003A5CBD">
      <w:pPr>
        <w:spacing w:after="120"/>
        <w:jc w:val="both"/>
        <w:rPr>
          <w:rFonts w:asciiTheme="majorBidi" w:hAnsiTheme="majorBidi" w:cstheme="majorBidi"/>
          <w:bCs/>
          <w:sz w:val="24"/>
          <w:szCs w:val="24"/>
        </w:rPr>
      </w:pPr>
      <w:r w:rsidRPr="003D412B">
        <w:rPr>
          <w:rFonts w:asciiTheme="majorBidi" w:hAnsiTheme="majorBidi" w:cstheme="majorBidi"/>
          <w:bCs/>
          <w:sz w:val="24"/>
          <w:szCs w:val="24"/>
        </w:rPr>
        <w:t>Zmiany z</w:t>
      </w:r>
      <w:r w:rsidR="003E1358" w:rsidRPr="003D412B">
        <w:rPr>
          <w:rFonts w:asciiTheme="majorBidi" w:hAnsiTheme="majorBidi" w:cstheme="majorBidi"/>
          <w:bCs/>
          <w:sz w:val="24"/>
          <w:szCs w:val="24"/>
        </w:rPr>
        <w:t xml:space="preserve">aproponowane przez Komisję Europejską w </w:t>
      </w:r>
      <w:r w:rsidRPr="003D412B">
        <w:rPr>
          <w:rFonts w:asciiTheme="majorBidi" w:hAnsiTheme="majorBidi" w:cstheme="majorBidi"/>
          <w:bCs/>
          <w:sz w:val="24"/>
          <w:szCs w:val="24"/>
        </w:rPr>
        <w:t xml:space="preserve">zakresie </w:t>
      </w:r>
      <w:r w:rsidR="00A6751E" w:rsidRPr="003D412B">
        <w:rPr>
          <w:rFonts w:asciiTheme="majorBidi" w:hAnsiTheme="majorBidi" w:cstheme="majorBidi"/>
          <w:bCs/>
          <w:sz w:val="24"/>
          <w:szCs w:val="24"/>
        </w:rPr>
        <w:t xml:space="preserve">zwiększenia roli organów regulacyjnych sektora audiowizualnego </w:t>
      </w:r>
      <w:r w:rsidR="003E1358" w:rsidRPr="003D412B">
        <w:rPr>
          <w:rFonts w:asciiTheme="majorBidi" w:hAnsiTheme="majorBidi" w:cstheme="majorBidi"/>
          <w:bCs/>
          <w:sz w:val="24"/>
          <w:szCs w:val="24"/>
        </w:rPr>
        <w:t>poprzedzone zostały szerokimi konsultacjami i</w:t>
      </w:r>
      <w:r w:rsidR="001442E7">
        <w:rPr>
          <w:rFonts w:asciiTheme="majorBidi" w:hAnsiTheme="majorBidi" w:cstheme="majorBidi"/>
          <w:sz w:val="24"/>
          <w:szCs w:val="24"/>
        </w:rPr>
        <w:t xml:space="preserve"> zasadniczo </w:t>
      </w:r>
      <w:r w:rsidR="00881531">
        <w:rPr>
          <w:rFonts w:asciiTheme="majorBidi" w:hAnsiTheme="majorBidi" w:cstheme="majorBidi"/>
          <w:sz w:val="24"/>
          <w:szCs w:val="24"/>
        </w:rPr>
        <w:t xml:space="preserve">odzwierciedlają </w:t>
      </w:r>
      <w:bookmarkStart w:id="0" w:name="_GoBack"/>
      <w:bookmarkEnd w:id="0"/>
      <w:r w:rsidR="00A53BF3" w:rsidRPr="003D412B">
        <w:rPr>
          <w:rFonts w:asciiTheme="majorBidi" w:hAnsiTheme="majorBidi" w:cstheme="majorBidi"/>
          <w:sz w:val="24"/>
          <w:szCs w:val="24"/>
        </w:rPr>
        <w:t xml:space="preserve">postulaty zgłoszone w rezultacie prac </w:t>
      </w:r>
      <w:r w:rsidR="003A5CBD">
        <w:rPr>
          <w:rFonts w:asciiTheme="majorBidi" w:hAnsiTheme="majorBidi" w:cstheme="majorBidi"/>
          <w:sz w:val="24"/>
          <w:szCs w:val="24"/>
        </w:rPr>
        <w:t>p</w:t>
      </w:r>
      <w:r w:rsidR="00A53BF3" w:rsidRPr="003D412B">
        <w:rPr>
          <w:rFonts w:asciiTheme="majorBidi" w:hAnsiTheme="majorBidi" w:cstheme="majorBidi"/>
          <w:sz w:val="24"/>
          <w:szCs w:val="24"/>
        </w:rPr>
        <w:t>odgrupy ERGA ds. niezależności organów regulacyjnych</w:t>
      </w:r>
      <w:r w:rsidR="001C5F4B">
        <w:rPr>
          <w:rFonts w:asciiTheme="majorBidi" w:hAnsiTheme="majorBidi" w:cstheme="majorBidi"/>
          <w:sz w:val="24"/>
          <w:szCs w:val="24"/>
        </w:rPr>
        <w:t>,</w:t>
      </w:r>
      <w:r w:rsidR="003A5CBD">
        <w:rPr>
          <w:rFonts w:asciiTheme="majorBidi" w:hAnsiTheme="majorBidi" w:cstheme="majorBidi"/>
          <w:sz w:val="24"/>
          <w:szCs w:val="24"/>
        </w:rPr>
        <w:t xml:space="preserve"> sformułowane w przyjętym przez tę organizację raporcie</w:t>
      </w:r>
      <w:r w:rsidR="003D412B">
        <w:rPr>
          <w:rFonts w:asciiTheme="majorBidi" w:hAnsiTheme="majorBidi" w:cstheme="majorBidi"/>
          <w:bCs/>
          <w:sz w:val="24"/>
          <w:szCs w:val="24"/>
        </w:rPr>
        <w:t xml:space="preserve">. </w:t>
      </w:r>
      <w:r w:rsidR="003E1358" w:rsidRPr="003D412B">
        <w:rPr>
          <w:rFonts w:asciiTheme="majorBidi" w:hAnsiTheme="majorBidi" w:cstheme="majorBidi"/>
          <w:bCs/>
          <w:sz w:val="24"/>
          <w:szCs w:val="24"/>
        </w:rPr>
        <w:t xml:space="preserve">Wśród przedstawicieli krajów członkowskich powszechna była opinia, że </w:t>
      </w:r>
      <w:r w:rsidR="001442E7">
        <w:rPr>
          <w:rFonts w:asciiTheme="majorBidi" w:hAnsiTheme="majorBidi" w:cstheme="majorBidi"/>
          <w:bCs/>
          <w:sz w:val="24"/>
          <w:szCs w:val="24"/>
        </w:rPr>
        <w:t>pozycja organów regulacyjnych</w:t>
      </w:r>
      <w:r w:rsidR="003E1358" w:rsidRPr="003D412B">
        <w:rPr>
          <w:rFonts w:asciiTheme="majorBidi" w:hAnsiTheme="majorBidi" w:cstheme="majorBidi"/>
          <w:bCs/>
          <w:sz w:val="24"/>
          <w:szCs w:val="24"/>
        </w:rPr>
        <w:t xml:space="preserve"> ds.</w:t>
      </w:r>
      <w:r w:rsidR="001442E7">
        <w:rPr>
          <w:rFonts w:asciiTheme="majorBidi" w:hAnsiTheme="majorBidi" w:cstheme="majorBidi"/>
          <w:bCs/>
          <w:sz w:val="24"/>
          <w:szCs w:val="24"/>
        </w:rPr>
        <w:t xml:space="preserve"> mediów elektronicznych wymaga</w:t>
      </w:r>
      <w:r w:rsidR="003E1358" w:rsidRPr="003D412B">
        <w:rPr>
          <w:rFonts w:asciiTheme="majorBidi" w:hAnsiTheme="majorBidi" w:cstheme="majorBidi"/>
          <w:bCs/>
          <w:sz w:val="24"/>
          <w:szCs w:val="24"/>
        </w:rPr>
        <w:t xml:space="preserve"> wzmocnienia pod kątem obowiązujących przepisów, tak by mogły </w:t>
      </w:r>
      <w:r w:rsidR="001442E7">
        <w:rPr>
          <w:rFonts w:asciiTheme="majorBidi" w:hAnsiTheme="majorBidi" w:cstheme="majorBidi"/>
          <w:bCs/>
          <w:sz w:val="24"/>
          <w:szCs w:val="24"/>
        </w:rPr>
        <w:t xml:space="preserve">one </w:t>
      </w:r>
      <w:r w:rsidR="003E1358" w:rsidRPr="003D412B">
        <w:rPr>
          <w:rFonts w:asciiTheme="majorBidi" w:hAnsiTheme="majorBidi" w:cstheme="majorBidi"/>
          <w:bCs/>
          <w:sz w:val="24"/>
          <w:szCs w:val="24"/>
        </w:rPr>
        <w:t xml:space="preserve">skutecznie bronić wolności słowa w swoich krajach. </w:t>
      </w:r>
    </w:p>
    <w:p w:rsidR="00FD4D62" w:rsidRDefault="003E1358" w:rsidP="00F76AC1">
      <w:pPr>
        <w:spacing w:after="120"/>
        <w:jc w:val="both"/>
        <w:rPr>
          <w:rFonts w:ascii="Times New Roman" w:hAnsi="Times New Roman" w:cs="Times New Roman"/>
          <w:bCs/>
          <w:sz w:val="24"/>
          <w:szCs w:val="24"/>
        </w:rPr>
      </w:pPr>
      <w:r w:rsidRPr="00F76AC1">
        <w:rPr>
          <w:rFonts w:ascii="Times New Roman" w:hAnsi="Times New Roman" w:cs="Times New Roman"/>
          <w:bCs/>
          <w:sz w:val="24"/>
          <w:szCs w:val="24"/>
        </w:rPr>
        <w:t>Proponowane brzmienie art. 30 i art. 30a wydaje się w zadowalającym stopniu spełniać to zadanie.</w:t>
      </w:r>
    </w:p>
    <w:p w:rsidR="008F31F3" w:rsidRPr="00F76AC1" w:rsidRDefault="008F31F3" w:rsidP="008F31F3">
      <w:pPr>
        <w:spacing w:after="120"/>
        <w:jc w:val="both"/>
        <w:rPr>
          <w:rFonts w:ascii="Times New Roman" w:hAnsi="Times New Roman" w:cs="Times New Roman"/>
          <w:bCs/>
          <w:sz w:val="24"/>
          <w:szCs w:val="24"/>
        </w:rPr>
      </w:pPr>
      <w:r>
        <w:rPr>
          <w:rFonts w:ascii="Times New Roman" w:hAnsi="Times New Roman" w:cs="Times New Roman"/>
          <w:bCs/>
          <w:sz w:val="24"/>
          <w:szCs w:val="24"/>
        </w:rPr>
        <w:t>Krajowa Rad</w:t>
      </w:r>
      <w:r w:rsidR="00B034C1">
        <w:rPr>
          <w:rFonts w:ascii="Times New Roman" w:hAnsi="Times New Roman" w:cs="Times New Roman"/>
          <w:bCs/>
          <w:sz w:val="24"/>
          <w:szCs w:val="24"/>
        </w:rPr>
        <w:t>a Radiofonii i Telewizji wspiera</w:t>
      </w:r>
      <w:r>
        <w:rPr>
          <w:rFonts w:ascii="Times New Roman" w:hAnsi="Times New Roman" w:cs="Times New Roman"/>
          <w:bCs/>
          <w:sz w:val="24"/>
          <w:szCs w:val="24"/>
        </w:rPr>
        <w:t xml:space="preserve"> propozycję zwiększenia rangi Europejskiej Grupy Regulatorów ds. Audiowizualnych Usług Medialnych (ERGA) poprzez wpisanie jej do tekstu dyrektywy oraz zwiększenie jej roli w doradzaniu Komisji.</w:t>
      </w:r>
    </w:p>
    <w:p w:rsidR="00C05843" w:rsidRDefault="00C05843"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t>P</w:t>
      </w:r>
      <w:r w:rsidRPr="001274F7">
        <w:rPr>
          <w:rFonts w:ascii="Times New Roman" w:hAnsi="Times New Roman" w:cs="Times New Roman"/>
          <w:b/>
          <w:sz w:val="24"/>
          <w:szCs w:val="24"/>
        </w:rPr>
        <w:t>romocja utworów europejskich</w:t>
      </w:r>
    </w:p>
    <w:p w:rsidR="00C240F5" w:rsidRDefault="00067FE8" w:rsidP="00E11879">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Proponowane w projekcie (art. 13) zobowiązanie dostawców usług </w:t>
      </w:r>
      <w:proofErr w:type="spellStart"/>
      <w:r>
        <w:rPr>
          <w:rFonts w:ascii="Times New Roman" w:hAnsi="Times New Roman" w:cs="Times New Roman"/>
          <w:bCs/>
          <w:sz w:val="24"/>
          <w:szCs w:val="24"/>
        </w:rPr>
        <w:t>VoD</w:t>
      </w:r>
      <w:proofErr w:type="spellEnd"/>
      <w:r>
        <w:rPr>
          <w:rFonts w:ascii="Times New Roman" w:hAnsi="Times New Roman" w:cs="Times New Roman"/>
          <w:bCs/>
          <w:sz w:val="24"/>
          <w:szCs w:val="24"/>
        </w:rPr>
        <w:t xml:space="preserve"> do zapewnienia w ofercie 20% utworów europejskich jest już obecne w </w:t>
      </w:r>
      <w:r w:rsidR="003A5CBD">
        <w:rPr>
          <w:rFonts w:ascii="Times New Roman" w:hAnsi="Times New Roman" w:cs="Times New Roman"/>
          <w:bCs/>
          <w:sz w:val="24"/>
          <w:szCs w:val="24"/>
        </w:rPr>
        <w:t xml:space="preserve">polskiej </w:t>
      </w:r>
      <w:r>
        <w:rPr>
          <w:rFonts w:ascii="Times New Roman" w:hAnsi="Times New Roman" w:cs="Times New Roman"/>
          <w:bCs/>
          <w:sz w:val="24"/>
          <w:szCs w:val="24"/>
        </w:rPr>
        <w:t>ustawie o radiofonii i telewizji. W</w:t>
      </w:r>
      <w:r w:rsidR="005C3F47">
        <w:rPr>
          <w:rFonts w:ascii="Times New Roman" w:hAnsi="Times New Roman" w:cs="Times New Roman"/>
          <w:bCs/>
          <w:sz w:val="24"/>
          <w:szCs w:val="24"/>
        </w:rPr>
        <w:t xml:space="preserve">zmocnienie go dodatkowym zapisem </w:t>
      </w:r>
      <w:r w:rsidR="001F3324">
        <w:rPr>
          <w:rFonts w:ascii="Times New Roman" w:hAnsi="Times New Roman" w:cs="Times New Roman"/>
          <w:bCs/>
          <w:sz w:val="24"/>
          <w:szCs w:val="24"/>
        </w:rPr>
        <w:t>o odpowiednim eksponowaniu</w:t>
      </w:r>
      <w:r w:rsidR="005C3F47">
        <w:rPr>
          <w:rFonts w:ascii="Times New Roman" w:hAnsi="Times New Roman" w:cs="Times New Roman"/>
          <w:bCs/>
          <w:sz w:val="24"/>
          <w:szCs w:val="24"/>
        </w:rPr>
        <w:t xml:space="preserve"> </w:t>
      </w:r>
      <w:r>
        <w:rPr>
          <w:rFonts w:ascii="Times New Roman" w:hAnsi="Times New Roman" w:cs="Times New Roman"/>
          <w:bCs/>
          <w:sz w:val="24"/>
          <w:szCs w:val="24"/>
        </w:rPr>
        <w:t>tych</w:t>
      </w:r>
      <w:r w:rsidR="001442E7">
        <w:rPr>
          <w:rFonts w:ascii="Times New Roman" w:hAnsi="Times New Roman" w:cs="Times New Roman"/>
          <w:bCs/>
          <w:sz w:val="24"/>
          <w:szCs w:val="24"/>
        </w:rPr>
        <w:t xml:space="preserve"> utworów wydaje się zmierzać</w:t>
      </w:r>
      <w:r w:rsidR="005C3F47">
        <w:rPr>
          <w:rFonts w:ascii="Times New Roman" w:hAnsi="Times New Roman" w:cs="Times New Roman"/>
          <w:bCs/>
          <w:sz w:val="24"/>
          <w:szCs w:val="24"/>
        </w:rPr>
        <w:t xml:space="preserve"> we właściwym kierunku,</w:t>
      </w:r>
      <w:r w:rsidR="001F3324">
        <w:rPr>
          <w:rFonts w:ascii="Times New Roman" w:hAnsi="Times New Roman" w:cs="Times New Roman"/>
          <w:bCs/>
          <w:sz w:val="24"/>
          <w:szCs w:val="24"/>
        </w:rPr>
        <w:t xml:space="preserve"> biorąc pod uwagę</w:t>
      </w:r>
      <w:r w:rsidR="00880524">
        <w:rPr>
          <w:rFonts w:ascii="Times New Roman" w:hAnsi="Times New Roman" w:cs="Times New Roman"/>
          <w:bCs/>
          <w:sz w:val="24"/>
          <w:szCs w:val="24"/>
        </w:rPr>
        <w:t xml:space="preserve"> zaobserwowaną na </w:t>
      </w:r>
      <w:r w:rsidR="003D412B">
        <w:rPr>
          <w:rFonts w:ascii="Times New Roman" w:hAnsi="Times New Roman" w:cs="Times New Roman"/>
          <w:bCs/>
          <w:sz w:val="24"/>
          <w:szCs w:val="24"/>
        </w:rPr>
        <w:t>polskim rynku niedostateczną ich</w:t>
      </w:r>
      <w:r w:rsidR="001F3324">
        <w:rPr>
          <w:rFonts w:ascii="Times New Roman" w:hAnsi="Times New Roman" w:cs="Times New Roman"/>
          <w:bCs/>
          <w:sz w:val="24"/>
          <w:szCs w:val="24"/>
        </w:rPr>
        <w:t xml:space="preserve"> promocję</w:t>
      </w:r>
      <w:r w:rsidR="00880524">
        <w:rPr>
          <w:rFonts w:ascii="Times New Roman" w:hAnsi="Times New Roman" w:cs="Times New Roman"/>
          <w:bCs/>
          <w:sz w:val="24"/>
          <w:szCs w:val="24"/>
        </w:rPr>
        <w:t>. P</w:t>
      </w:r>
      <w:r w:rsidR="005C3F47">
        <w:rPr>
          <w:rFonts w:ascii="Times New Roman" w:hAnsi="Times New Roman" w:cs="Times New Roman"/>
          <w:bCs/>
          <w:sz w:val="24"/>
          <w:szCs w:val="24"/>
        </w:rPr>
        <w:t>odobnie</w:t>
      </w:r>
      <w:r w:rsidR="003A5CBD">
        <w:rPr>
          <w:rFonts w:ascii="Times New Roman" w:hAnsi="Times New Roman" w:cs="Times New Roman"/>
          <w:bCs/>
          <w:sz w:val="24"/>
          <w:szCs w:val="24"/>
        </w:rPr>
        <w:t>,</w:t>
      </w:r>
      <w:r w:rsidR="005C3F47">
        <w:rPr>
          <w:rFonts w:ascii="Times New Roman" w:hAnsi="Times New Roman" w:cs="Times New Roman"/>
          <w:bCs/>
          <w:sz w:val="24"/>
          <w:szCs w:val="24"/>
        </w:rPr>
        <w:t xml:space="preserve"> </w:t>
      </w:r>
      <w:r w:rsidR="00880524">
        <w:rPr>
          <w:rFonts w:ascii="Times New Roman" w:hAnsi="Times New Roman" w:cs="Times New Roman"/>
          <w:bCs/>
          <w:sz w:val="24"/>
          <w:szCs w:val="24"/>
        </w:rPr>
        <w:t>postulowane rozwiązania</w:t>
      </w:r>
      <w:r w:rsidR="00C240F5">
        <w:rPr>
          <w:rFonts w:ascii="Times New Roman" w:hAnsi="Times New Roman" w:cs="Times New Roman"/>
          <w:bCs/>
          <w:sz w:val="24"/>
          <w:szCs w:val="24"/>
        </w:rPr>
        <w:t xml:space="preserve"> dotyczące</w:t>
      </w:r>
      <w:r w:rsidR="001F3324">
        <w:rPr>
          <w:rFonts w:ascii="Times New Roman" w:hAnsi="Times New Roman" w:cs="Times New Roman"/>
          <w:bCs/>
          <w:sz w:val="24"/>
          <w:szCs w:val="24"/>
        </w:rPr>
        <w:t xml:space="preserve"> </w:t>
      </w:r>
      <w:r w:rsidR="00C240F5">
        <w:rPr>
          <w:rFonts w:ascii="Times New Roman" w:hAnsi="Times New Roman" w:cs="Times New Roman"/>
          <w:bCs/>
          <w:sz w:val="24"/>
          <w:szCs w:val="24"/>
        </w:rPr>
        <w:t xml:space="preserve">finansowania produkcji utworów europejskich </w:t>
      </w:r>
      <w:r w:rsidR="00880524">
        <w:rPr>
          <w:rFonts w:ascii="Times New Roman" w:hAnsi="Times New Roman" w:cs="Times New Roman"/>
          <w:bCs/>
          <w:sz w:val="24"/>
          <w:szCs w:val="24"/>
        </w:rPr>
        <w:t xml:space="preserve">mogą przyczynić się do zwiększenia konkurencyjności </w:t>
      </w:r>
      <w:r w:rsidR="00E11879">
        <w:rPr>
          <w:rFonts w:ascii="Times New Roman" w:hAnsi="Times New Roman" w:cs="Times New Roman"/>
          <w:bCs/>
          <w:sz w:val="24"/>
          <w:szCs w:val="24"/>
        </w:rPr>
        <w:t xml:space="preserve">europejskich treści audiowizualnych. </w:t>
      </w:r>
    </w:p>
    <w:p w:rsidR="00C05843" w:rsidRDefault="00C05843"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t>Ochrona małoletnich</w:t>
      </w:r>
    </w:p>
    <w:p w:rsidR="00622B28" w:rsidRDefault="00622B28" w:rsidP="00A6751E">
      <w:pPr>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Krajowa Rada Radiofonii i Telewizji pozytywnie ocenia </w:t>
      </w:r>
      <w:r w:rsidR="00F933B4">
        <w:rPr>
          <w:rFonts w:ascii="Times New Roman" w:hAnsi="Times New Roman" w:cs="Times New Roman"/>
          <w:bCs/>
          <w:sz w:val="24"/>
          <w:szCs w:val="24"/>
        </w:rPr>
        <w:t xml:space="preserve">proponowane </w:t>
      </w:r>
      <w:r w:rsidR="00D67ED8">
        <w:rPr>
          <w:rFonts w:ascii="Times New Roman" w:hAnsi="Times New Roman" w:cs="Times New Roman"/>
          <w:bCs/>
          <w:sz w:val="24"/>
          <w:szCs w:val="24"/>
        </w:rPr>
        <w:t xml:space="preserve">w dyrektywie </w:t>
      </w:r>
      <w:r>
        <w:rPr>
          <w:rFonts w:ascii="Times New Roman" w:hAnsi="Times New Roman" w:cs="Times New Roman"/>
          <w:bCs/>
          <w:sz w:val="24"/>
          <w:szCs w:val="24"/>
        </w:rPr>
        <w:t xml:space="preserve">zmiany odnośnie </w:t>
      </w:r>
      <w:r w:rsidR="00F933B4">
        <w:rPr>
          <w:rFonts w:ascii="Times New Roman" w:hAnsi="Times New Roman" w:cs="Times New Roman"/>
          <w:bCs/>
          <w:sz w:val="24"/>
          <w:szCs w:val="24"/>
        </w:rPr>
        <w:t>do</w:t>
      </w:r>
      <w:r w:rsidR="00815764">
        <w:rPr>
          <w:rFonts w:ascii="Times New Roman" w:hAnsi="Times New Roman" w:cs="Times New Roman"/>
          <w:bCs/>
          <w:sz w:val="24"/>
          <w:szCs w:val="24"/>
        </w:rPr>
        <w:t xml:space="preserve"> </w:t>
      </w:r>
      <w:r w:rsidR="00D67ED8">
        <w:rPr>
          <w:rFonts w:ascii="Times New Roman" w:hAnsi="Times New Roman" w:cs="Times New Roman"/>
          <w:bCs/>
          <w:sz w:val="24"/>
          <w:szCs w:val="24"/>
        </w:rPr>
        <w:t xml:space="preserve">zwiększenia </w:t>
      </w:r>
      <w:r w:rsidR="00D67ED8" w:rsidRPr="005C3F47">
        <w:rPr>
          <w:rFonts w:ascii="Times New Roman" w:hAnsi="Times New Roman" w:cs="Times New Roman"/>
          <w:bCs/>
          <w:sz w:val="24"/>
          <w:szCs w:val="24"/>
        </w:rPr>
        <w:t xml:space="preserve">poziomu ochrony </w:t>
      </w:r>
      <w:r w:rsidR="00D67ED8">
        <w:rPr>
          <w:rFonts w:ascii="Times New Roman" w:hAnsi="Times New Roman" w:cs="Times New Roman"/>
          <w:bCs/>
          <w:sz w:val="24"/>
          <w:szCs w:val="24"/>
        </w:rPr>
        <w:t xml:space="preserve">małoletnich </w:t>
      </w:r>
      <w:r w:rsidR="00D67ED8" w:rsidRPr="005C3F47">
        <w:rPr>
          <w:rFonts w:ascii="Times New Roman" w:hAnsi="Times New Roman" w:cs="Times New Roman"/>
          <w:bCs/>
          <w:sz w:val="24"/>
          <w:szCs w:val="24"/>
        </w:rPr>
        <w:t xml:space="preserve">w usługach na żądanie </w:t>
      </w:r>
      <w:r w:rsidR="00D67ED8">
        <w:rPr>
          <w:rFonts w:ascii="Times New Roman" w:hAnsi="Times New Roman" w:cs="Times New Roman"/>
          <w:bCs/>
          <w:sz w:val="24"/>
          <w:szCs w:val="24"/>
        </w:rPr>
        <w:t>(ujednolicenie poziomu tej ochrony z usługami linearnymi)</w:t>
      </w:r>
      <w:r w:rsidR="00393BA0">
        <w:rPr>
          <w:rFonts w:ascii="Times New Roman" w:hAnsi="Times New Roman" w:cs="Times New Roman"/>
          <w:bCs/>
          <w:sz w:val="24"/>
          <w:szCs w:val="24"/>
        </w:rPr>
        <w:t>,</w:t>
      </w:r>
      <w:r w:rsidR="00D67ED8">
        <w:rPr>
          <w:rFonts w:ascii="Times New Roman" w:hAnsi="Times New Roman" w:cs="Times New Roman"/>
          <w:bCs/>
          <w:sz w:val="24"/>
          <w:szCs w:val="24"/>
        </w:rPr>
        <w:t xml:space="preserve"> a także </w:t>
      </w:r>
      <w:r w:rsidR="00815764">
        <w:rPr>
          <w:rFonts w:ascii="Times New Roman" w:hAnsi="Times New Roman" w:cs="Times New Roman"/>
          <w:bCs/>
          <w:sz w:val="24"/>
          <w:szCs w:val="24"/>
        </w:rPr>
        <w:t xml:space="preserve">do </w:t>
      </w:r>
      <w:r>
        <w:rPr>
          <w:rFonts w:ascii="Times New Roman" w:hAnsi="Times New Roman" w:cs="Times New Roman"/>
          <w:bCs/>
          <w:sz w:val="24"/>
          <w:szCs w:val="24"/>
        </w:rPr>
        <w:t>środków</w:t>
      </w:r>
      <w:r w:rsidR="00F933B4">
        <w:rPr>
          <w:rFonts w:ascii="Times New Roman" w:hAnsi="Times New Roman" w:cs="Times New Roman"/>
          <w:bCs/>
          <w:sz w:val="24"/>
          <w:szCs w:val="24"/>
        </w:rPr>
        <w:t xml:space="preserve">, jakie </w:t>
      </w:r>
      <w:r>
        <w:rPr>
          <w:rFonts w:ascii="Times New Roman" w:hAnsi="Times New Roman" w:cs="Times New Roman"/>
          <w:bCs/>
          <w:sz w:val="24"/>
          <w:szCs w:val="24"/>
        </w:rPr>
        <w:t xml:space="preserve">państwa członkowskie </w:t>
      </w:r>
      <w:r w:rsidR="00F933B4">
        <w:rPr>
          <w:rFonts w:ascii="Times New Roman" w:hAnsi="Times New Roman" w:cs="Times New Roman"/>
          <w:bCs/>
          <w:sz w:val="24"/>
          <w:szCs w:val="24"/>
        </w:rPr>
        <w:t xml:space="preserve">będą mogły stosować </w:t>
      </w:r>
      <w:r>
        <w:rPr>
          <w:rFonts w:ascii="Times New Roman" w:hAnsi="Times New Roman" w:cs="Times New Roman"/>
          <w:bCs/>
          <w:sz w:val="24"/>
          <w:szCs w:val="24"/>
        </w:rPr>
        <w:t xml:space="preserve">w </w:t>
      </w:r>
      <w:r w:rsidR="00D67ED8">
        <w:rPr>
          <w:rFonts w:ascii="Times New Roman" w:hAnsi="Times New Roman" w:cs="Times New Roman"/>
          <w:bCs/>
          <w:sz w:val="24"/>
          <w:szCs w:val="24"/>
        </w:rPr>
        <w:t xml:space="preserve">tym </w:t>
      </w:r>
      <w:r>
        <w:rPr>
          <w:rFonts w:ascii="Times New Roman" w:hAnsi="Times New Roman" w:cs="Times New Roman"/>
          <w:bCs/>
          <w:sz w:val="24"/>
          <w:szCs w:val="24"/>
        </w:rPr>
        <w:t>celu</w:t>
      </w:r>
      <w:r w:rsidR="00C56AF9">
        <w:rPr>
          <w:rFonts w:ascii="Times New Roman" w:hAnsi="Times New Roman" w:cs="Times New Roman"/>
          <w:bCs/>
          <w:sz w:val="24"/>
          <w:szCs w:val="24"/>
        </w:rPr>
        <w:t>.</w:t>
      </w:r>
      <w:r>
        <w:rPr>
          <w:rFonts w:ascii="Times New Roman" w:hAnsi="Times New Roman" w:cs="Times New Roman"/>
          <w:bCs/>
          <w:sz w:val="24"/>
          <w:szCs w:val="24"/>
        </w:rPr>
        <w:t xml:space="preserve"> </w:t>
      </w:r>
      <w:r w:rsidR="00F933B4">
        <w:rPr>
          <w:rFonts w:ascii="Times New Roman" w:hAnsi="Times New Roman" w:cs="Times New Roman"/>
          <w:bCs/>
          <w:sz w:val="24"/>
          <w:szCs w:val="24"/>
        </w:rPr>
        <w:t xml:space="preserve"> </w:t>
      </w:r>
      <w:r w:rsidR="00815764">
        <w:rPr>
          <w:rFonts w:ascii="Times New Roman" w:hAnsi="Times New Roman" w:cs="Times New Roman"/>
          <w:bCs/>
          <w:sz w:val="24"/>
          <w:szCs w:val="24"/>
        </w:rPr>
        <w:t xml:space="preserve">Zmiany </w:t>
      </w:r>
      <w:r w:rsidR="00C56AF9">
        <w:rPr>
          <w:rFonts w:ascii="Times New Roman" w:hAnsi="Times New Roman" w:cs="Times New Roman"/>
          <w:bCs/>
          <w:sz w:val="24"/>
          <w:szCs w:val="24"/>
        </w:rPr>
        <w:t xml:space="preserve">w tym kierunku </w:t>
      </w:r>
      <w:r w:rsidR="00815764">
        <w:rPr>
          <w:rFonts w:ascii="Times New Roman" w:hAnsi="Times New Roman" w:cs="Times New Roman"/>
          <w:bCs/>
          <w:sz w:val="24"/>
          <w:szCs w:val="24"/>
        </w:rPr>
        <w:t xml:space="preserve">są </w:t>
      </w:r>
      <w:r w:rsidR="00F933B4">
        <w:rPr>
          <w:rFonts w:ascii="Times New Roman" w:hAnsi="Times New Roman" w:cs="Times New Roman"/>
          <w:bCs/>
          <w:sz w:val="24"/>
          <w:szCs w:val="24"/>
        </w:rPr>
        <w:t xml:space="preserve">zgodne z </w:t>
      </w:r>
      <w:r w:rsidR="00D67ED8">
        <w:rPr>
          <w:rFonts w:ascii="Times New Roman" w:hAnsi="Times New Roman" w:cs="Times New Roman"/>
          <w:bCs/>
          <w:sz w:val="24"/>
          <w:szCs w:val="24"/>
        </w:rPr>
        <w:t xml:space="preserve">wnioskami zawartymi w raporcie ERGA dotyczącym ochrony małoletnich w </w:t>
      </w:r>
      <w:proofErr w:type="spellStart"/>
      <w:r w:rsidR="00D67ED8">
        <w:rPr>
          <w:rFonts w:ascii="Times New Roman" w:hAnsi="Times New Roman" w:cs="Times New Roman"/>
          <w:bCs/>
          <w:sz w:val="24"/>
          <w:szCs w:val="24"/>
        </w:rPr>
        <w:t>konwergentnym</w:t>
      </w:r>
      <w:proofErr w:type="spellEnd"/>
      <w:r w:rsidR="00D67ED8">
        <w:rPr>
          <w:rFonts w:ascii="Times New Roman" w:hAnsi="Times New Roman" w:cs="Times New Roman"/>
          <w:bCs/>
          <w:sz w:val="24"/>
          <w:szCs w:val="24"/>
        </w:rPr>
        <w:t xml:space="preserve"> środowisku. </w:t>
      </w:r>
    </w:p>
    <w:p w:rsidR="00622B28" w:rsidRDefault="00622B28" w:rsidP="00A6751E">
      <w:pPr>
        <w:spacing w:after="120"/>
        <w:jc w:val="both"/>
        <w:rPr>
          <w:rFonts w:ascii="Times New Roman" w:hAnsi="Times New Roman" w:cs="Times New Roman"/>
          <w:bCs/>
          <w:sz w:val="24"/>
          <w:szCs w:val="24"/>
        </w:rPr>
      </w:pPr>
      <w:r>
        <w:rPr>
          <w:rFonts w:ascii="Times New Roman" w:hAnsi="Times New Roman" w:cs="Times New Roman"/>
          <w:bCs/>
          <w:sz w:val="24"/>
          <w:szCs w:val="24"/>
        </w:rPr>
        <w:t>Jednocześnie</w:t>
      </w:r>
      <w:r w:rsidR="00C56AF9">
        <w:rPr>
          <w:rFonts w:ascii="Times New Roman" w:hAnsi="Times New Roman" w:cs="Times New Roman"/>
          <w:bCs/>
          <w:sz w:val="24"/>
          <w:szCs w:val="24"/>
        </w:rPr>
        <w:t>,</w:t>
      </w:r>
      <w:r>
        <w:rPr>
          <w:rFonts w:ascii="Times New Roman" w:hAnsi="Times New Roman" w:cs="Times New Roman"/>
          <w:bCs/>
          <w:sz w:val="24"/>
          <w:szCs w:val="24"/>
        </w:rPr>
        <w:t xml:space="preserve"> </w:t>
      </w:r>
      <w:r w:rsidR="00C56AF9">
        <w:rPr>
          <w:rFonts w:ascii="Times New Roman" w:hAnsi="Times New Roman" w:cs="Times New Roman"/>
          <w:bCs/>
          <w:sz w:val="24"/>
          <w:szCs w:val="24"/>
        </w:rPr>
        <w:t>w związku z pro</w:t>
      </w:r>
      <w:r w:rsidR="008E2BC7">
        <w:rPr>
          <w:rFonts w:ascii="Times New Roman" w:hAnsi="Times New Roman" w:cs="Times New Roman"/>
          <w:bCs/>
          <w:sz w:val="24"/>
          <w:szCs w:val="24"/>
        </w:rPr>
        <w:t xml:space="preserve">jektowanym </w:t>
      </w:r>
      <w:r w:rsidR="00C56AF9">
        <w:rPr>
          <w:rFonts w:ascii="Times New Roman" w:hAnsi="Times New Roman" w:cs="Times New Roman"/>
          <w:bCs/>
          <w:sz w:val="24"/>
          <w:szCs w:val="24"/>
        </w:rPr>
        <w:t xml:space="preserve">ujednoliceniem poziomu ochrony małoletnich w usługach linearnych i nielinearnych </w:t>
      </w:r>
      <w:r w:rsidR="008E2BC7">
        <w:rPr>
          <w:rFonts w:ascii="Times New Roman" w:hAnsi="Times New Roman" w:cs="Times New Roman"/>
          <w:bCs/>
          <w:sz w:val="24"/>
          <w:szCs w:val="24"/>
        </w:rPr>
        <w:t>oraz w związku z tym, że Komisja Europejska proponuje uproszczenie definicji</w:t>
      </w:r>
      <w:r w:rsidR="00C56AF9">
        <w:rPr>
          <w:rFonts w:ascii="Times New Roman" w:hAnsi="Times New Roman" w:cs="Times New Roman"/>
          <w:bCs/>
          <w:sz w:val="24"/>
          <w:szCs w:val="24"/>
        </w:rPr>
        <w:t xml:space="preserve"> treści szkodliwych, </w:t>
      </w:r>
      <w:r w:rsidR="008E2BC7">
        <w:rPr>
          <w:rFonts w:ascii="Times New Roman" w:hAnsi="Times New Roman" w:cs="Times New Roman"/>
          <w:bCs/>
          <w:sz w:val="24"/>
          <w:szCs w:val="24"/>
        </w:rPr>
        <w:t xml:space="preserve">istotne będzie </w:t>
      </w:r>
      <w:r w:rsidR="00CD6ACB">
        <w:rPr>
          <w:rFonts w:ascii="Times New Roman" w:hAnsi="Times New Roman" w:cs="Times New Roman"/>
          <w:bCs/>
          <w:sz w:val="24"/>
          <w:szCs w:val="24"/>
        </w:rPr>
        <w:t xml:space="preserve">wyjaśnienie lub </w:t>
      </w:r>
      <w:r w:rsidR="00C56AF9">
        <w:rPr>
          <w:rFonts w:ascii="Times New Roman" w:hAnsi="Times New Roman" w:cs="Times New Roman"/>
          <w:bCs/>
          <w:sz w:val="24"/>
          <w:szCs w:val="24"/>
        </w:rPr>
        <w:t xml:space="preserve">doprecyzowanie </w:t>
      </w:r>
      <w:r w:rsidR="008E2BC7">
        <w:rPr>
          <w:rFonts w:ascii="Times New Roman" w:hAnsi="Times New Roman" w:cs="Times New Roman"/>
          <w:bCs/>
          <w:sz w:val="24"/>
          <w:szCs w:val="24"/>
        </w:rPr>
        <w:t>użytych w proj</w:t>
      </w:r>
      <w:r w:rsidR="003A5CBD">
        <w:rPr>
          <w:rFonts w:ascii="Times New Roman" w:hAnsi="Times New Roman" w:cs="Times New Roman"/>
          <w:bCs/>
          <w:sz w:val="24"/>
          <w:szCs w:val="24"/>
        </w:rPr>
        <w:t>ektowanym a</w:t>
      </w:r>
      <w:r w:rsidR="008E2BC7">
        <w:rPr>
          <w:rFonts w:ascii="Times New Roman" w:hAnsi="Times New Roman" w:cs="Times New Roman"/>
          <w:bCs/>
          <w:sz w:val="24"/>
          <w:szCs w:val="24"/>
        </w:rPr>
        <w:t xml:space="preserve">rt. 12 </w:t>
      </w:r>
      <w:r w:rsidR="00C56AF9">
        <w:rPr>
          <w:rFonts w:ascii="Times New Roman" w:hAnsi="Times New Roman" w:cs="Times New Roman"/>
          <w:bCs/>
          <w:sz w:val="24"/>
          <w:szCs w:val="24"/>
        </w:rPr>
        <w:t xml:space="preserve">zakresów znaczeniowych </w:t>
      </w:r>
      <w:r w:rsidR="00CD6ACB">
        <w:rPr>
          <w:rFonts w:ascii="Times New Roman" w:hAnsi="Times New Roman" w:cs="Times New Roman"/>
          <w:bCs/>
          <w:sz w:val="24"/>
          <w:szCs w:val="24"/>
        </w:rPr>
        <w:t>terminów</w:t>
      </w:r>
      <w:r w:rsidR="008E2BC7">
        <w:rPr>
          <w:rFonts w:ascii="Times New Roman" w:hAnsi="Times New Roman" w:cs="Times New Roman"/>
          <w:bCs/>
          <w:sz w:val="24"/>
          <w:szCs w:val="24"/>
        </w:rPr>
        <w:t>:</w:t>
      </w:r>
      <w:r w:rsidR="003D412B">
        <w:rPr>
          <w:rFonts w:ascii="Times New Roman" w:hAnsi="Times New Roman" w:cs="Times New Roman"/>
          <w:bCs/>
          <w:sz w:val="24"/>
          <w:szCs w:val="24"/>
        </w:rPr>
        <w:t xml:space="preserve"> „</w:t>
      </w:r>
      <w:proofErr w:type="spellStart"/>
      <w:r w:rsidR="00CD6ACB" w:rsidRPr="001F3324">
        <w:rPr>
          <w:rFonts w:ascii="Times New Roman" w:hAnsi="Times New Roman" w:cs="Times New Roman"/>
          <w:bCs/>
          <w:i/>
          <w:sz w:val="24"/>
          <w:szCs w:val="24"/>
        </w:rPr>
        <w:t>programmes</w:t>
      </w:r>
      <w:proofErr w:type="spellEnd"/>
      <w:r w:rsidR="00CD6ACB" w:rsidRPr="001F3324">
        <w:rPr>
          <w:rFonts w:ascii="Times New Roman" w:hAnsi="Times New Roman" w:cs="Times New Roman"/>
          <w:bCs/>
          <w:i/>
          <w:sz w:val="24"/>
          <w:szCs w:val="24"/>
        </w:rPr>
        <w:t xml:space="preserve"> </w:t>
      </w:r>
      <w:proofErr w:type="spellStart"/>
      <w:r w:rsidR="003D412B" w:rsidRPr="001F3324">
        <w:rPr>
          <w:rFonts w:ascii="Times New Roman" w:hAnsi="Times New Roman" w:cs="Times New Roman"/>
          <w:bCs/>
          <w:i/>
          <w:sz w:val="24"/>
          <w:szCs w:val="24"/>
        </w:rPr>
        <w:t>which</w:t>
      </w:r>
      <w:proofErr w:type="spellEnd"/>
      <w:r w:rsidR="003D412B" w:rsidRPr="001F3324">
        <w:rPr>
          <w:rFonts w:ascii="Times New Roman" w:hAnsi="Times New Roman" w:cs="Times New Roman"/>
          <w:bCs/>
          <w:i/>
          <w:sz w:val="24"/>
          <w:szCs w:val="24"/>
        </w:rPr>
        <w:t xml:space="preserve"> </w:t>
      </w:r>
      <w:proofErr w:type="spellStart"/>
      <w:r w:rsidR="003D412B" w:rsidRPr="001F3324">
        <w:rPr>
          <w:rFonts w:ascii="Times New Roman" w:hAnsi="Times New Roman" w:cs="Times New Roman"/>
          <w:bCs/>
          <w:i/>
          <w:sz w:val="24"/>
          <w:szCs w:val="24"/>
        </w:rPr>
        <w:t>may</w:t>
      </w:r>
      <w:proofErr w:type="spellEnd"/>
      <w:r w:rsidR="003D412B" w:rsidRPr="001F3324">
        <w:rPr>
          <w:rFonts w:ascii="Times New Roman" w:hAnsi="Times New Roman" w:cs="Times New Roman"/>
          <w:bCs/>
          <w:i/>
          <w:sz w:val="24"/>
          <w:szCs w:val="24"/>
        </w:rPr>
        <w:t xml:space="preserve"> </w:t>
      </w:r>
      <w:proofErr w:type="spellStart"/>
      <w:r w:rsidR="003D412B" w:rsidRPr="001F3324">
        <w:rPr>
          <w:rFonts w:ascii="Times New Roman" w:hAnsi="Times New Roman" w:cs="Times New Roman"/>
          <w:bCs/>
          <w:i/>
          <w:sz w:val="24"/>
          <w:szCs w:val="24"/>
        </w:rPr>
        <w:t>impair</w:t>
      </w:r>
      <w:proofErr w:type="spellEnd"/>
      <w:r w:rsidR="003D412B" w:rsidRPr="001F3324">
        <w:rPr>
          <w:rFonts w:ascii="Times New Roman" w:hAnsi="Times New Roman" w:cs="Times New Roman"/>
          <w:bCs/>
          <w:i/>
          <w:sz w:val="24"/>
          <w:szCs w:val="24"/>
        </w:rPr>
        <w:t>”</w:t>
      </w:r>
      <w:r w:rsidR="003D412B">
        <w:rPr>
          <w:rFonts w:ascii="Times New Roman" w:hAnsi="Times New Roman" w:cs="Times New Roman"/>
          <w:bCs/>
          <w:sz w:val="24"/>
          <w:szCs w:val="24"/>
        </w:rPr>
        <w:t xml:space="preserve"> oraz </w:t>
      </w:r>
      <w:r w:rsidR="00CD6ACB" w:rsidRPr="001F3324">
        <w:rPr>
          <w:rFonts w:ascii="Times New Roman" w:hAnsi="Times New Roman" w:cs="Times New Roman"/>
          <w:bCs/>
          <w:i/>
          <w:sz w:val="24"/>
          <w:szCs w:val="24"/>
        </w:rPr>
        <w:t xml:space="preserve">”the most </w:t>
      </w:r>
      <w:proofErr w:type="spellStart"/>
      <w:r w:rsidR="00CD6ACB" w:rsidRPr="001F3324">
        <w:rPr>
          <w:rFonts w:ascii="Times New Roman" w:hAnsi="Times New Roman" w:cs="Times New Roman"/>
          <w:bCs/>
          <w:i/>
          <w:sz w:val="24"/>
          <w:szCs w:val="24"/>
        </w:rPr>
        <w:t>harmful</w:t>
      </w:r>
      <w:proofErr w:type="spellEnd"/>
      <w:r w:rsidR="00CD6ACB" w:rsidRPr="001F3324">
        <w:rPr>
          <w:rFonts w:ascii="Times New Roman" w:hAnsi="Times New Roman" w:cs="Times New Roman"/>
          <w:bCs/>
          <w:i/>
          <w:sz w:val="24"/>
          <w:szCs w:val="24"/>
        </w:rPr>
        <w:t xml:space="preserve"> </w:t>
      </w:r>
      <w:proofErr w:type="spellStart"/>
      <w:r w:rsidR="00CD6ACB" w:rsidRPr="001F3324">
        <w:rPr>
          <w:rFonts w:ascii="Times New Roman" w:hAnsi="Times New Roman" w:cs="Times New Roman"/>
          <w:bCs/>
          <w:i/>
          <w:sz w:val="24"/>
          <w:szCs w:val="24"/>
        </w:rPr>
        <w:t>content</w:t>
      </w:r>
      <w:proofErr w:type="spellEnd"/>
      <w:r w:rsidR="00CD6ACB" w:rsidRPr="001F3324">
        <w:rPr>
          <w:rFonts w:ascii="Times New Roman" w:hAnsi="Times New Roman" w:cs="Times New Roman"/>
          <w:bCs/>
          <w:i/>
          <w:sz w:val="24"/>
          <w:szCs w:val="24"/>
        </w:rPr>
        <w:t>”</w:t>
      </w:r>
      <w:r w:rsidR="00CD6ACB">
        <w:rPr>
          <w:rFonts w:ascii="Times New Roman" w:hAnsi="Times New Roman" w:cs="Times New Roman"/>
          <w:bCs/>
          <w:sz w:val="24"/>
          <w:szCs w:val="24"/>
        </w:rPr>
        <w:t xml:space="preserve"> </w:t>
      </w:r>
      <w:r w:rsidR="008E2BC7">
        <w:rPr>
          <w:rFonts w:ascii="Times New Roman" w:hAnsi="Times New Roman" w:cs="Times New Roman"/>
          <w:bCs/>
          <w:sz w:val="24"/>
          <w:szCs w:val="24"/>
        </w:rPr>
        <w:t>wra</w:t>
      </w:r>
      <w:r w:rsidR="00B74A57">
        <w:rPr>
          <w:rFonts w:ascii="Times New Roman" w:hAnsi="Times New Roman" w:cs="Times New Roman"/>
          <w:bCs/>
          <w:sz w:val="24"/>
          <w:szCs w:val="24"/>
        </w:rPr>
        <w:t>z z ich polskimi odpowiednikami (</w:t>
      </w:r>
      <w:r w:rsidR="001F3324">
        <w:rPr>
          <w:rFonts w:ascii="Times New Roman" w:hAnsi="Times New Roman" w:cs="Times New Roman"/>
          <w:bCs/>
          <w:sz w:val="24"/>
          <w:szCs w:val="24"/>
        </w:rPr>
        <w:t>patrz też</w:t>
      </w:r>
      <w:r w:rsidR="00C66287">
        <w:rPr>
          <w:rFonts w:ascii="Times New Roman" w:hAnsi="Times New Roman" w:cs="Times New Roman"/>
          <w:bCs/>
          <w:sz w:val="24"/>
          <w:szCs w:val="24"/>
        </w:rPr>
        <w:t>:</w:t>
      </w:r>
      <w:r w:rsidR="00B74A57" w:rsidRPr="00B74A57">
        <w:rPr>
          <w:rFonts w:ascii="Times New Roman" w:hAnsi="Times New Roman" w:cs="Times New Roman"/>
          <w:bCs/>
          <w:sz w:val="24"/>
          <w:szCs w:val="24"/>
        </w:rPr>
        <w:t xml:space="preserve"> uwagi szczegółowe nr 13 i nr 18</w:t>
      </w:r>
      <w:r w:rsidR="00B74A57">
        <w:rPr>
          <w:rFonts w:ascii="Times New Roman" w:hAnsi="Times New Roman" w:cs="Times New Roman"/>
          <w:bCs/>
          <w:sz w:val="24"/>
          <w:szCs w:val="24"/>
        </w:rPr>
        <w:t>).</w:t>
      </w:r>
    </w:p>
    <w:p w:rsidR="00C05843" w:rsidRDefault="00C05843"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lastRenderedPageBreak/>
        <w:t>Zasada kraju pochodzenia</w:t>
      </w:r>
    </w:p>
    <w:p w:rsidR="00EE6D05" w:rsidRDefault="007F1454" w:rsidP="003E1358">
      <w:pPr>
        <w:spacing w:after="120"/>
        <w:jc w:val="both"/>
        <w:rPr>
          <w:rFonts w:ascii="Times New Roman" w:eastAsia="Times New Roman" w:hAnsi="Times New Roman" w:cs="Times New Roman"/>
          <w:sz w:val="24"/>
          <w:szCs w:val="24"/>
          <w:lang w:eastAsia="pl-PL"/>
        </w:rPr>
      </w:pPr>
      <w:r w:rsidRPr="007F1454">
        <w:rPr>
          <w:rFonts w:ascii="Times New Roman" w:hAnsi="Times New Roman" w:cs="Times New Roman"/>
          <w:sz w:val="24"/>
          <w:szCs w:val="24"/>
        </w:rPr>
        <w:t>W projektowanej nowelizacji uproszczenie procedury ustalania jurysdykcji terytorialnej zostało wprowadzone poprzez zmianę zapisu art. 2 ust. 3 pkt b:</w:t>
      </w:r>
      <w:r w:rsidRPr="00381C94">
        <w:rPr>
          <w:rFonts w:ascii="Times New Roman" w:hAnsi="Times New Roman" w:cs="Times New Roman"/>
          <w:sz w:val="24"/>
          <w:szCs w:val="24"/>
        </w:rPr>
        <w:t xml:space="preserve"> </w:t>
      </w:r>
      <w:r w:rsidRPr="00C66287">
        <w:rPr>
          <w:rFonts w:ascii="Times New Roman" w:hAnsi="Times New Roman" w:cs="Times New Roman"/>
          <w:i/>
          <w:sz w:val="24"/>
          <w:szCs w:val="24"/>
        </w:rPr>
        <w:t>„</w:t>
      </w:r>
      <w:r w:rsidRPr="00C66287">
        <w:rPr>
          <w:rFonts w:ascii="Times New Roman" w:eastAsia="Times New Roman" w:hAnsi="Times New Roman" w:cs="Times New Roman"/>
          <w:i/>
          <w:sz w:val="24"/>
          <w:szCs w:val="24"/>
          <w:lang w:eastAsia="pl-PL"/>
        </w:rPr>
        <w:t xml:space="preserve">b) jeżeli główne biuro dostawcy usług medialnych znajduje się w jednym państwie członkowskim, ale decyzje redakcyjne dotyczące audiowizualnej usługi medialnej są podejmowane w innym państwie członkowskim, uznaje się, że dostawca usług medialnych ma siedzibę w tym państwie członkowskim, w którym działa </w:t>
      </w:r>
      <w:r w:rsidRPr="00C66287">
        <w:rPr>
          <w:rFonts w:ascii="Times New Roman" w:eastAsia="Times New Roman" w:hAnsi="Times New Roman" w:cs="Times New Roman"/>
          <w:i/>
          <w:strike/>
          <w:sz w:val="24"/>
          <w:szCs w:val="24"/>
          <w:lang w:eastAsia="pl-PL"/>
        </w:rPr>
        <w:t>znaczna część</w:t>
      </w:r>
      <w:r w:rsidRPr="00C66287">
        <w:rPr>
          <w:rFonts w:ascii="Times New Roman" w:eastAsia="Times New Roman" w:hAnsi="Times New Roman" w:cs="Times New Roman"/>
          <w:i/>
          <w:sz w:val="24"/>
          <w:szCs w:val="24"/>
          <w:lang w:eastAsia="pl-PL"/>
        </w:rPr>
        <w:t xml:space="preserve"> </w:t>
      </w:r>
      <w:r w:rsidRPr="00C66287">
        <w:rPr>
          <w:rFonts w:ascii="Times New Roman" w:eastAsia="Times New Roman" w:hAnsi="Times New Roman" w:cs="Times New Roman"/>
          <w:b/>
          <w:i/>
          <w:sz w:val="24"/>
          <w:szCs w:val="24"/>
          <w:lang w:eastAsia="pl-PL"/>
        </w:rPr>
        <w:t>większość</w:t>
      </w:r>
      <w:r w:rsidRPr="00C66287">
        <w:rPr>
          <w:rFonts w:ascii="Times New Roman" w:eastAsia="Times New Roman" w:hAnsi="Times New Roman" w:cs="Times New Roman"/>
          <w:i/>
          <w:sz w:val="24"/>
          <w:szCs w:val="24"/>
          <w:lang w:eastAsia="pl-PL"/>
        </w:rPr>
        <w:t xml:space="preserve"> pracowników zaangażowanych w świadczenie audiowizualnej usługi medialnej;”</w:t>
      </w:r>
      <w:r>
        <w:rPr>
          <w:rFonts w:ascii="Times New Roman" w:eastAsia="Times New Roman" w:hAnsi="Times New Roman" w:cs="Times New Roman"/>
          <w:sz w:val="24"/>
          <w:szCs w:val="24"/>
          <w:lang w:eastAsia="pl-PL"/>
        </w:rPr>
        <w:t xml:space="preserve"> oraz wykreślenie </w:t>
      </w:r>
      <w:r w:rsidR="00CE5571">
        <w:rPr>
          <w:rFonts w:ascii="Times New Roman" w:eastAsia="Times New Roman" w:hAnsi="Times New Roman" w:cs="Times New Roman"/>
          <w:sz w:val="24"/>
          <w:szCs w:val="24"/>
          <w:lang w:eastAsia="pl-PL"/>
        </w:rPr>
        <w:t xml:space="preserve">dwóch </w:t>
      </w:r>
      <w:r>
        <w:rPr>
          <w:rFonts w:ascii="Times New Roman" w:eastAsia="Times New Roman" w:hAnsi="Times New Roman" w:cs="Times New Roman"/>
          <w:sz w:val="24"/>
          <w:szCs w:val="24"/>
          <w:lang w:eastAsia="pl-PL"/>
        </w:rPr>
        <w:t>ostatnich akapitów tego punktu.</w:t>
      </w:r>
      <w:r w:rsidR="004A53B4">
        <w:rPr>
          <w:rFonts w:ascii="Times New Roman" w:eastAsia="Times New Roman" w:hAnsi="Times New Roman" w:cs="Times New Roman"/>
          <w:sz w:val="24"/>
          <w:szCs w:val="24"/>
          <w:lang w:eastAsia="pl-PL"/>
        </w:rPr>
        <w:t xml:space="preserve"> </w:t>
      </w:r>
    </w:p>
    <w:p w:rsidR="007F1454" w:rsidRDefault="004F6973" w:rsidP="003E1358">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KRRiT</w:t>
      </w:r>
      <w:r w:rsidR="007F1454">
        <w:rPr>
          <w:rFonts w:ascii="Times New Roman" w:eastAsia="Times New Roman" w:hAnsi="Times New Roman" w:cs="Times New Roman"/>
          <w:sz w:val="24"/>
          <w:szCs w:val="24"/>
          <w:lang w:eastAsia="pl-PL"/>
        </w:rPr>
        <w:t xml:space="preserve"> uproszczenie procedury ustalania jurysdykcji jest właściwym kierunkiem </w:t>
      </w:r>
      <w:r w:rsidR="00CE5571">
        <w:rPr>
          <w:rFonts w:ascii="Times New Roman" w:eastAsia="Times New Roman" w:hAnsi="Times New Roman" w:cs="Times New Roman"/>
          <w:sz w:val="24"/>
          <w:szCs w:val="24"/>
          <w:lang w:eastAsia="pl-PL"/>
        </w:rPr>
        <w:t>nowelizacji</w:t>
      </w:r>
      <w:r w:rsidR="007F1454">
        <w:rPr>
          <w:rFonts w:ascii="Times New Roman" w:eastAsia="Times New Roman" w:hAnsi="Times New Roman" w:cs="Times New Roman"/>
          <w:sz w:val="24"/>
          <w:szCs w:val="24"/>
          <w:lang w:eastAsia="pl-PL"/>
        </w:rPr>
        <w:t xml:space="preserve"> dyrektywy</w:t>
      </w:r>
      <w:r w:rsidR="003A5CBD">
        <w:rPr>
          <w:rFonts w:ascii="Times New Roman" w:eastAsia="Times New Roman" w:hAnsi="Times New Roman" w:cs="Times New Roman"/>
          <w:sz w:val="24"/>
          <w:szCs w:val="24"/>
          <w:lang w:eastAsia="pl-PL"/>
        </w:rPr>
        <w:t>,</w:t>
      </w:r>
      <w:r w:rsidR="007F1454">
        <w:rPr>
          <w:rFonts w:ascii="Times New Roman" w:eastAsia="Times New Roman" w:hAnsi="Times New Roman" w:cs="Times New Roman"/>
          <w:sz w:val="24"/>
          <w:szCs w:val="24"/>
          <w:lang w:eastAsia="pl-PL"/>
        </w:rPr>
        <w:t xml:space="preserve"> jednak zmiany zaproponowane przez Komisję </w:t>
      </w:r>
      <w:r>
        <w:rPr>
          <w:rFonts w:ascii="Times New Roman" w:eastAsia="Times New Roman" w:hAnsi="Times New Roman" w:cs="Times New Roman"/>
          <w:sz w:val="24"/>
          <w:szCs w:val="24"/>
          <w:lang w:eastAsia="pl-PL"/>
        </w:rPr>
        <w:t xml:space="preserve">Europejską </w:t>
      </w:r>
      <w:r w:rsidR="007F1454">
        <w:rPr>
          <w:rFonts w:ascii="Times New Roman" w:eastAsia="Times New Roman" w:hAnsi="Times New Roman" w:cs="Times New Roman"/>
          <w:sz w:val="24"/>
          <w:szCs w:val="24"/>
          <w:lang w:eastAsia="pl-PL"/>
        </w:rPr>
        <w:t xml:space="preserve">są niewystarczające. </w:t>
      </w:r>
      <w:r w:rsidR="00E8111B" w:rsidRPr="00E8111B">
        <w:rPr>
          <w:rFonts w:ascii="Times New Roman" w:eastAsia="Times New Roman" w:hAnsi="Times New Roman" w:cs="Times New Roman"/>
          <w:sz w:val="24"/>
          <w:szCs w:val="24"/>
          <w:lang w:eastAsia="pl-PL"/>
        </w:rPr>
        <w:t xml:space="preserve">Zasada państwa pochodzenia nie zawsze umożliwia państwu odbioru realizację własnej polityki publicznej, ponieważ dostawcy usług posiadający koncesję w innym kraju nie przestrzegają surowszych przepisów kraju, do którego dana usługa jest w całości skierowana. Regulator </w:t>
      </w:r>
      <w:r>
        <w:rPr>
          <w:rFonts w:ascii="Times New Roman" w:eastAsia="Times New Roman" w:hAnsi="Times New Roman" w:cs="Times New Roman"/>
          <w:sz w:val="24"/>
          <w:szCs w:val="24"/>
          <w:lang w:eastAsia="pl-PL"/>
        </w:rPr>
        <w:t xml:space="preserve">rynku </w:t>
      </w:r>
      <w:r w:rsidR="00E8111B" w:rsidRPr="00E8111B">
        <w:rPr>
          <w:rFonts w:ascii="Times New Roman" w:eastAsia="Times New Roman" w:hAnsi="Times New Roman" w:cs="Times New Roman"/>
          <w:sz w:val="24"/>
          <w:szCs w:val="24"/>
          <w:lang w:eastAsia="pl-PL"/>
        </w:rPr>
        <w:t>w państwie odbioru nie może zatem egzekwować krajowych przepisów w odniesieniu do wszystkich nadawców kierujących swoją usługę wyłącznie lub w przeważającym zakr</w:t>
      </w:r>
      <w:r w:rsidR="00E8111B">
        <w:rPr>
          <w:rFonts w:ascii="Times New Roman" w:eastAsia="Times New Roman" w:hAnsi="Times New Roman" w:cs="Times New Roman"/>
          <w:sz w:val="24"/>
          <w:szCs w:val="24"/>
          <w:lang w:eastAsia="pl-PL"/>
        </w:rPr>
        <w:t>esie do odbiorców w tym pań</w:t>
      </w:r>
      <w:r w:rsidR="00E8111B" w:rsidRPr="00E8111B">
        <w:rPr>
          <w:rFonts w:ascii="Times New Roman" w:eastAsia="Times New Roman" w:hAnsi="Times New Roman" w:cs="Times New Roman"/>
          <w:sz w:val="24"/>
          <w:szCs w:val="24"/>
          <w:lang w:eastAsia="pl-PL"/>
        </w:rPr>
        <w:t>stwie, co powoduje nierówne traktowanie podmiot</w:t>
      </w:r>
      <w:r w:rsidR="003A5CBD">
        <w:rPr>
          <w:rFonts w:ascii="Times New Roman" w:eastAsia="Times New Roman" w:hAnsi="Times New Roman" w:cs="Times New Roman"/>
          <w:sz w:val="24"/>
          <w:szCs w:val="24"/>
          <w:lang w:eastAsia="pl-PL"/>
        </w:rPr>
        <w:t>ów posiadających koncesję krajową</w:t>
      </w:r>
      <w:r w:rsidR="00E8111B" w:rsidRPr="00E8111B">
        <w:rPr>
          <w:rFonts w:ascii="Times New Roman" w:eastAsia="Times New Roman" w:hAnsi="Times New Roman" w:cs="Times New Roman"/>
          <w:sz w:val="24"/>
          <w:szCs w:val="24"/>
          <w:lang w:eastAsia="pl-PL"/>
        </w:rPr>
        <w:t xml:space="preserve"> i zagraniczną. Dodatkowo</w:t>
      </w:r>
      <w:r w:rsidR="00096790">
        <w:rPr>
          <w:rFonts w:ascii="Times New Roman" w:eastAsia="Times New Roman" w:hAnsi="Times New Roman" w:cs="Times New Roman"/>
          <w:sz w:val="24"/>
          <w:szCs w:val="24"/>
          <w:lang w:eastAsia="pl-PL"/>
        </w:rPr>
        <w:t>,</w:t>
      </w:r>
      <w:r w:rsidR="00E8111B" w:rsidRPr="00E8111B">
        <w:rPr>
          <w:rFonts w:ascii="Times New Roman" w:eastAsia="Times New Roman" w:hAnsi="Times New Roman" w:cs="Times New Roman"/>
          <w:sz w:val="24"/>
          <w:szCs w:val="24"/>
          <w:lang w:eastAsia="pl-PL"/>
        </w:rPr>
        <w:t xml:space="preserve"> procedury współpracy z organami regulacyjnymi wydającymi koncesje tzw. „zdelokalizowane” są długotrwałe i mało skuteczne.</w:t>
      </w:r>
      <w:r w:rsidR="00913E26">
        <w:rPr>
          <w:rFonts w:ascii="Times New Roman" w:eastAsia="Times New Roman" w:hAnsi="Times New Roman" w:cs="Times New Roman"/>
          <w:sz w:val="24"/>
          <w:szCs w:val="24"/>
          <w:lang w:eastAsia="pl-PL"/>
        </w:rPr>
        <w:t xml:space="preserve"> </w:t>
      </w:r>
      <w:r w:rsidR="007F1454">
        <w:rPr>
          <w:rFonts w:ascii="Times New Roman" w:eastAsia="Times New Roman" w:hAnsi="Times New Roman" w:cs="Times New Roman"/>
          <w:sz w:val="24"/>
          <w:szCs w:val="24"/>
          <w:lang w:eastAsia="pl-PL"/>
        </w:rPr>
        <w:t>K</w:t>
      </w:r>
      <w:r w:rsidR="00C66287">
        <w:rPr>
          <w:rFonts w:ascii="Times New Roman" w:eastAsia="Times New Roman" w:hAnsi="Times New Roman" w:cs="Times New Roman"/>
          <w:sz w:val="24"/>
          <w:szCs w:val="24"/>
          <w:lang w:eastAsia="pl-PL"/>
        </w:rPr>
        <w:t>RRiT w konsultacjach dyrektywy  w ramach REFIT</w:t>
      </w:r>
      <w:r w:rsidR="007F1454">
        <w:rPr>
          <w:rFonts w:ascii="Times New Roman" w:eastAsia="Times New Roman" w:hAnsi="Times New Roman" w:cs="Times New Roman"/>
          <w:sz w:val="24"/>
          <w:szCs w:val="24"/>
          <w:lang w:eastAsia="pl-PL"/>
        </w:rPr>
        <w:t xml:space="preserve"> zaproponowała wprowadzenie następujących rozwiązań:</w:t>
      </w:r>
    </w:p>
    <w:p w:rsidR="007F1454" w:rsidRPr="00290976" w:rsidRDefault="007F1454" w:rsidP="003E1358">
      <w:pPr>
        <w:pStyle w:val="Akapitzlist"/>
        <w:numPr>
          <w:ilvl w:val="0"/>
          <w:numId w:val="13"/>
        </w:numPr>
        <w:tabs>
          <w:tab w:val="left" w:pos="1276"/>
        </w:tabs>
        <w:spacing w:after="120"/>
        <w:ind w:hanging="436"/>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zwiększenie, na poziomie unijnym, harmonizacji przepisów prawnych dotyczących:</w:t>
      </w:r>
    </w:p>
    <w:p w:rsidR="007F1454" w:rsidRPr="00290976" w:rsidRDefault="007F1454" w:rsidP="003E1358">
      <w:pPr>
        <w:pStyle w:val="Akapitzlist"/>
        <w:numPr>
          <w:ilvl w:val="1"/>
          <w:numId w:val="15"/>
        </w:numPr>
        <w:tabs>
          <w:tab w:val="left" w:pos="426"/>
        </w:tabs>
        <w:spacing w:after="120"/>
        <w:ind w:left="1134" w:hanging="425"/>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określania jurysdykcji właściwej (poszerzenie listy kryteriów wpływających na określenie, które państwo sprawuje jurysdykcję nad nadawcą o element miejsca, w którym zlokalizowana jes</w:t>
      </w:r>
      <w:r w:rsidR="00913E26">
        <w:rPr>
          <w:rFonts w:ascii="Times New Roman" w:eastAsia="Times New Roman" w:hAnsi="Times New Roman" w:cs="Times New Roman"/>
          <w:sz w:val="24"/>
          <w:szCs w:val="24"/>
          <w:lang w:eastAsia="pl-PL"/>
        </w:rPr>
        <w:t>t docelowa widownia programu - m</w:t>
      </w:r>
      <w:r w:rsidR="00913E26" w:rsidRPr="00913E26">
        <w:rPr>
          <w:rFonts w:ascii="Times New Roman" w:eastAsia="Times New Roman" w:hAnsi="Times New Roman" w:cs="Times New Roman"/>
          <w:sz w:val="24"/>
          <w:szCs w:val="24"/>
          <w:lang w:eastAsia="pl-PL"/>
        </w:rPr>
        <w:t>odyfik</w:t>
      </w:r>
      <w:r w:rsidR="00913E26">
        <w:rPr>
          <w:rFonts w:ascii="Times New Roman" w:eastAsia="Times New Roman" w:hAnsi="Times New Roman" w:cs="Times New Roman"/>
          <w:sz w:val="24"/>
          <w:szCs w:val="24"/>
          <w:lang w:eastAsia="pl-PL"/>
        </w:rPr>
        <w:t>acja</w:t>
      </w:r>
      <w:r w:rsidR="00913E26" w:rsidRPr="00913E26">
        <w:rPr>
          <w:rFonts w:ascii="Times New Roman" w:eastAsia="Times New Roman" w:hAnsi="Times New Roman" w:cs="Times New Roman"/>
          <w:sz w:val="24"/>
          <w:szCs w:val="24"/>
          <w:lang w:eastAsia="pl-PL"/>
        </w:rPr>
        <w:t xml:space="preserve"> zasad</w:t>
      </w:r>
      <w:r w:rsidR="00913E26">
        <w:rPr>
          <w:rFonts w:ascii="Times New Roman" w:eastAsia="Times New Roman" w:hAnsi="Times New Roman" w:cs="Times New Roman"/>
          <w:sz w:val="24"/>
          <w:szCs w:val="24"/>
          <w:lang w:eastAsia="pl-PL"/>
        </w:rPr>
        <w:t>y</w:t>
      </w:r>
      <w:r w:rsidR="00913E26" w:rsidRPr="00913E26">
        <w:rPr>
          <w:rFonts w:ascii="Times New Roman" w:eastAsia="Times New Roman" w:hAnsi="Times New Roman" w:cs="Times New Roman"/>
          <w:sz w:val="24"/>
          <w:szCs w:val="24"/>
          <w:lang w:eastAsia="pl-PL"/>
        </w:rPr>
        <w:t xml:space="preserve"> państwa pochodzenia o elementy zasady państwa odbioru</w:t>
      </w:r>
      <w:r w:rsidR="00913E26">
        <w:rPr>
          <w:rFonts w:ascii="Times New Roman" w:eastAsia="Times New Roman" w:hAnsi="Times New Roman" w:cs="Times New Roman"/>
          <w:sz w:val="24"/>
          <w:szCs w:val="24"/>
          <w:lang w:eastAsia="pl-PL"/>
        </w:rPr>
        <w:t>);</w:t>
      </w:r>
    </w:p>
    <w:p w:rsidR="007F1454" w:rsidRPr="00290976" w:rsidRDefault="007F1454" w:rsidP="003E1358">
      <w:pPr>
        <w:pStyle w:val="Akapitzlist"/>
        <w:numPr>
          <w:ilvl w:val="1"/>
          <w:numId w:val="15"/>
        </w:numPr>
        <w:tabs>
          <w:tab w:val="left" w:pos="426"/>
        </w:tabs>
        <w:spacing w:after="120"/>
        <w:ind w:left="1134" w:hanging="425"/>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 xml:space="preserve">poszanowania ostrzejszych przepisów przyjętych w interesie publicznym w państwie odbioru programu zdelokalizowanego, m.in. poprzez wprowadzenie: </w:t>
      </w:r>
    </w:p>
    <w:p w:rsidR="007F1454" w:rsidRPr="00290976" w:rsidRDefault="007F1454" w:rsidP="003E1358">
      <w:pPr>
        <w:pStyle w:val="Akapitzlist"/>
        <w:numPr>
          <w:ilvl w:val="0"/>
          <w:numId w:val="16"/>
        </w:numPr>
        <w:spacing w:after="120"/>
        <w:ind w:hanging="295"/>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 xml:space="preserve">wymogu informowania koncesjonariusza (dostawcy usług/nadawcy występującego o koncesję) przez organ regulacyjny wydający koncesję na rynek inny niż krajowy o konieczności przestrzegania określonych ostrzejszych wymogów programowych stosownie do zasad obowiązujących w państwie odbioru, </w:t>
      </w:r>
    </w:p>
    <w:p w:rsidR="007F1454" w:rsidRPr="00290976" w:rsidRDefault="007F1454" w:rsidP="00A6751E">
      <w:pPr>
        <w:pStyle w:val="Akapitzlist"/>
        <w:numPr>
          <w:ilvl w:val="0"/>
          <w:numId w:val="16"/>
        </w:numPr>
        <w:spacing w:after="120"/>
        <w:ind w:hanging="295"/>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obowiązku informowania innych regulatorów, ERG</w:t>
      </w:r>
      <w:r w:rsidR="00A6751E">
        <w:rPr>
          <w:rFonts w:ascii="Times New Roman" w:eastAsia="Times New Roman" w:hAnsi="Times New Roman" w:cs="Times New Roman"/>
          <w:sz w:val="24"/>
          <w:szCs w:val="24"/>
          <w:lang w:eastAsia="pl-PL"/>
        </w:rPr>
        <w:t>A</w:t>
      </w:r>
      <w:r w:rsidRPr="00290976">
        <w:rPr>
          <w:rFonts w:ascii="Times New Roman" w:eastAsia="Times New Roman" w:hAnsi="Times New Roman" w:cs="Times New Roman"/>
          <w:sz w:val="24"/>
          <w:szCs w:val="24"/>
          <w:lang w:eastAsia="pl-PL"/>
        </w:rPr>
        <w:t xml:space="preserve"> oraz Komisji Europejskiej o liście ostrzejszych niż przewidziane w dyrektywie przepisów przyjętych w interesie publicznym, </w:t>
      </w:r>
    </w:p>
    <w:p w:rsidR="007F1454" w:rsidRPr="00290976" w:rsidRDefault="007F1454" w:rsidP="003E1358">
      <w:pPr>
        <w:pStyle w:val="Akapitzlist"/>
        <w:numPr>
          <w:ilvl w:val="0"/>
          <w:numId w:val="16"/>
        </w:numPr>
        <w:spacing w:after="120"/>
        <w:ind w:hanging="295"/>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obowiązku powiadomienia/konsultowania odpowiedniego organu regulacyjnego o przyznaniu kon</w:t>
      </w:r>
      <w:r w:rsidR="00096790">
        <w:rPr>
          <w:rFonts w:ascii="Times New Roman" w:eastAsia="Times New Roman" w:hAnsi="Times New Roman" w:cs="Times New Roman"/>
          <w:sz w:val="24"/>
          <w:szCs w:val="24"/>
          <w:lang w:eastAsia="pl-PL"/>
        </w:rPr>
        <w:t>cesji skierowanej na jego rynek;</w:t>
      </w:r>
    </w:p>
    <w:p w:rsidR="007F1454" w:rsidRPr="00290976" w:rsidRDefault="007F1454" w:rsidP="003E1358">
      <w:pPr>
        <w:pStyle w:val="Akapitzlist"/>
        <w:numPr>
          <w:ilvl w:val="0"/>
          <w:numId w:val="13"/>
        </w:numPr>
        <w:tabs>
          <w:tab w:val="left" w:pos="1276"/>
        </w:tabs>
        <w:spacing w:after="120"/>
        <w:ind w:hanging="436"/>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 xml:space="preserve">istotne wzmocnienie krajowych mechanizmów monitoringu i kontroli nad programami </w:t>
      </w:r>
      <w:r w:rsidR="00C66287">
        <w:rPr>
          <w:rFonts w:ascii="Times New Roman" w:eastAsia="Times New Roman" w:hAnsi="Times New Roman" w:cs="Times New Roman"/>
          <w:sz w:val="24"/>
          <w:szCs w:val="24"/>
          <w:lang w:eastAsia="pl-PL"/>
        </w:rPr>
        <w:t>„</w:t>
      </w:r>
      <w:r w:rsidRPr="00290976">
        <w:rPr>
          <w:rFonts w:ascii="Times New Roman" w:eastAsia="Times New Roman" w:hAnsi="Times New Roman" w:cs="Times New Roman"/>
          <w:sz w:val="24"/>
          <w:szCs w:val="24"/>
          <w:lang w:eastAsia="pl-PL"/>
        </w:rPr>
        <w:t>zdelokalizowanymi</w:t>
      </w:r>
      <w:r w:rsidR="00C66287">
        <w:rPr>
          <w:rFonts w:ascii="Times New Roman" w:eastAsia="Times New Roman" w:hAnsi="Times New Roman" w:cs="Times New Roman"/>
          <w:sz w:val="24"/>
          <w:szCs w:val="24"/>
          <w:lang w:eastAsia="pl-PL"/>
        </w:rPr>
        <w:t>”</w:t>
      </w:r>
      <w:r w:rsidRPr="00290976">
        <w:rPr>
          <w:rFonts w:ascii="Times New Roman" w:eastAsia="Times New Roman" w:hAnsi="Times New Roman" w:cs="Times New Roman"/>
          <w:sz w:val="24"/>
          <w:szCs w:val="24"/>
          <w:lang w:eastAsia="pl-PL"/>
        </w:rPr>
        <w:t>, niezależnie od języka oferowanej usługi; działania kontrolne w tym zakresie powinny uwzględniać specyfikę kulturową i historyczną kraju, do którego adresowany jest dany program;</w:t>
      </w:r>
    </w:p>
    <w:p w:rsidR="007F1454" w:rsidRPr="00290976" w:rsidRDefault="007F1454" w:rsidP="003E1358">
      <w:pPr>
        <w:pStyle w:val="Akapitzlist"/>
        <w:numPr>
          <w:ilvl w:val="0"/>
          <w:numId w:val="13"/>
        </w:numPr>
        <w:tabs>
          <w:tab w:val="left" w:pos="1276"/>
        </w:tabs>
        <w:spacing w:after="120"/>
        <w:ind w:hanging="436"/>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lastRenderedPageBreak/>
        <w:t>określenie w prawie unijnym obowiązku utrwalania i przechowywania przez określony czas zapisu audycji i innych przekazów (w związku z rozpatrywanymi skargami);</w:t>
      </w:r>
    </w:p>
    <w:p w:rsidR="007F1454" w:rsidRDefault="007F1454" w:rsidP="003E1358">
      <w:pPr>
        <w:pStyle w:val="Akapitzlist"/>
        <w:numPr>
          <w:ilvl w:val="0"/>
          <w:numId w:val="13"/>
        </w:numPr>
        <w:tabs>
          <w:tab w:val="left" w:pos="1276"/>
        </w:tabs>
        <w:spacing w:after="120"/>
        <w:ind w:hanging="436"/>
        <w:jc w:val="both"/>
        <w:rPr>
          <w:rFonts w:ascii="Times New Roman" w:eastAsia="Times New Roman" w:hAnsi="Times New Roman" w:cs="Times New Roman"/>
          <w:sz w:val="24"/>
          <w:szCs w:val="24"/>
          <w:lang w:eastAsia="pl-PL"/>
        </w:rPr>
      </w:pPr>
      <w:r w:rsidRPr="00290976">
        <w:rPr>
          <w:rFonts w:ascii="Times New Roman" w:eastAsia="Times New Roman" w:hAnsi="Times New Roman" w:cs="Times New Roman"/>
          <w:sz w:val="24"/>
          <w:szCs w:val="24"/>
          <w:lang w:eastAsia="pl-PL"/>
        </w:rPr>
        <w:t>uproszczenie i usprawnienie mechanizmów rozszerzonej współpracy pomiędzy regulatorami w sprawach jurysdykcyjnych.</w:t>
      </w:r>
    </w:p>
    <w:p w:rsidR="00174D4D" w:rsidRPr="003D412B" w:rsidRDefault="00174D4D" w:rsidP="003D412B">
      <w:pPr>
        <w:tabs>
          <w:tab w:val="left" w:pos="1276"/>
        </w:tabs>
        <w:spacing w:after="120"/>
        <w:jc w:val="both"/>
        <w:rPr>
          <w:rFonts w:ascii="Times New Roman" w:eastAsia="Times New Roman" w:hAnsi="Times New Roman" w:cs="Times New Roman"/>
          <w:sz w:val="24"/>
          <w:szCs w:val="24"/>
          <w:lang w:eastAsia="pl-PL"/>
        </w:rPr>
      </w:pPr>
      <w:r w:rsidRPr="003D412B">
        <w:rPr>
          <w:rFonts w:ascii="Times New Roman" w:eastAsia="Times New Roman" w:hAnsi="Times New Roman" w:cs="Times New Roman"/>
          <w:sz w:val="24"/>
          <w:szCs w:val="24"/>
          <w:lang w:eastAsia="pl-PL"/>
        </w:rPr>
        <w:t>Ponadto, zdaniem KRRiT</w:t>
      </w:r>
      <w:r w:rsidR="00096790">
        <w:rPr>
          <w:rFonts w:ascii="Times New Roman" w:eastAsia="Times New Roman" w:hAnsi="Times New Roman" w:cs="Times New Roman"/>
          <w:sz w:val="24"/>
          <w:szCs w:val="24"/>
          <w:lang w:eastAsia="pl-PL"/>
        </w:rPr>
        <w:t>,</w:t>
      </w:r>
      <w:r w:rsidRPr="003D412B">
        <w:rPr>
          <w:rFonts w:ascii="Times New Roman" w:eastAsia="Times New Roman" w:hAnsi="Times New Roman" w:cs="Times New Roman"/>
          <w:sz w:val="24"/>
          <w:szCs w:val="24"/>
          <w:lang w:eastAsia="pl-PL"/>
        </w:rPr>
        <w:t xml:space="preserve"> w proponowanej nowelizacji zakres stosowania dyrektywy powinien być rozszerzony na dostawców audiowizualnych usług medialnych mających siedzibę poza UE, którzy kierują swoje usługi do odbiorców z UE. Można to osiągnąć np. przez wprowadzenie wymogu rejestracji dla tych dostawców lub wyznaczenie przedstawiciela w jednym państwie członkowskim (np. głównym państwie docelowym, tzn. w głównym państwie odbioru). Zastosowanie miałyby wtedy przepisy obowiązujące w państwie członkowskim, w którym dostawca jest zarejestrowany lub z którego pochodzi przedstawiciel.</w:t>
      </w:r>
    </w:p>
    <w:p w:rsidR="000D731B" w:rsidRPr="000D731B" w:rsidRDefault="000D731B" w:rsidP="000D731B">
      <w:pPr>
        <w:tabs>
          <w:tab w:val="left" w:pos="1276"/>
        </w:tabs>
        <w:spacing w:after="120"/>
        <w:jc w:val="both"/>
        <w:rPr>
          <w:rFonts w:ascii="Times New Roman" w:eastAsia="Times New Roman" w:hAnsi="Times New Roman" w:cs="Times New Roman"/>
          <w:sz w:val="24"/>
          <w:szCs w:val="24"/>
          <w:lang w:eastAsia="pl-PL"/>
        </w:rPr>
      </w:pPr>
    </w:p>
    <w:p w:rsidR="00C05843" w:rsidRDefault="00FD4D62"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t>Z</w:t>
      </w:r>
      <w:r w:rsidRPr="005E1B2E">
        <w:rPr>
          <w:rFonts w:ascii="Times New Roman" w:hAnsi="Times New Roman" w:cs="Times New Roman"/>
          <w:b/>
          <w:sz w:val="24"/>
          <w:szCs w:val="24"/>
        </w:rPr>
        <w:t>większenie elastyczności nadawców telewizyjnych dotyczącej limitów reklamowych</w:t>
      </w:r>
    </w:p>
    <w:p w:rsidR="00A6751E" w:rsidRDefault="00A6751E" w:rsidP="00A6751E">
      <w:pPr>
        <w:spacing w:after="120"/>
        <w:jc w:val="both"/>
        <w:rPr>
          <w:rFonts w:ascii="Times New Roman" w:hAnsi="Times New Roman" w:cs="Times New Roman"/>
          <w:bCs/>
          <w:sz w:val="24"/>
          <w:szCs w:val="24"/>
        </w:rPr>
      </w:pPr>
      <w:r>
        <w:rPr>
          <w:rFonts w:ascii="Times New Roman" w:hAnsi="Times New Roman" w:cs="Times New Roman"/>
          <w:bCs/>
          <w:sz w:val="24"/>
          <w:szCs w:val="24"/>
        </w:rPr>
        <w:t>Zgodnie</w:t>
      </w:r>
      <w:r w:rsidRPr="00A6751E">
        <w:rPr>
          <w:rFonts w:ascii="Times New Roman" w:hAnsi="Times New Roman" w:cs="Times New Roman"/>
          <w:bCs/>
          <w:sz w:val="24"/>
          <w:szCs w:val="24"/>
        </w:rPr>
        <w:t xml:space="preserve"> z propozycją art. 23, limit godzinowy </w:t>
      </w:r>
      <w:r>
        <w:rPr>
          <w:rFonts w:ascii="Times New Roman" w:hAnsi="Times New Roman" w:cs="Times New Roman"/>
          <w:bCs/>
          <w:sz w:val="24"/>
          <w:szCs w:val="24"/>
        </w:rPr>
        <w:t xml:space="preserve">nadawania audiowizualnych przekazów handlowych </w:t>
      </w:r>
      <w:r w:rsidRPr="00A6751E">
        <w:rPr>
          <w:rFonts w:ascii="Times New Roman" w:hAnsi="Times New Roman" w:cs="Times New Roman"/>
          <w:bCs/>
          <w:sz w:val="24"/>
          <w:szCs w:val="24"/>
        </w:rPr>
        <w:t>zostaje zastąpiony limitem dziennym na poziomie 20% w godz. 7</w:t>
      </w:r>
      <w:r w:rsidR="00096790">
        <w:rPr>
          <w:rFonts w:ascii="Times New Roman" w:hAnsi="Times New Roman" w:cs="Times New Roman"/>
          <w:bCs/>
          <w:sz w:val="24"/>
          <w:szCs w:val="24"/>
        </w:rPr>
        <w:t>:00</w:t>
      </w:r>
      <w:r w:rsidRPr="00A6751E">
        <w:rPr>
          <w:rFonts w:ascii="Times New Roman" w:hAnsi="Times New Roman" w:cs="Times New Roman"/>
          <w:bCs/>
          <w:sz w:val="24"/>
          <w:szCs w:val="24"/>
        </w:rPr>
        <w:t>-23</w:t>
      </w:r>
      <w:r w:rsidR="00096790">
        <w:rPr>
          <w:rFonts w:ascii="Times New Roman" w:hAnsi="Times New Roman" w:cs="Times New Roman"/>
          <w:bCs/>
          <w:sz w:val="24"/>
          <w:szCs w:val="24"/>
        </w:rPr>
        <w:t>:00</w:t>
      </w:r>
    </w:p>
    <w:p w:rsidR="00A6751E" w:rsidRPr="00A6751E" w:rsidRDefault="00096790" w:rsidP="00174D4D">
      <w:pPr>
        <w:spacing w:after="120"/>
        <w:jc w:val="both"/>
        <w:rPr>
          <w:rFonts w:ascii="Times New Roman" w:hAnsi="Times New Roman" w:cs="Times New Roman"/>
          <w:bCs/>
          <w:sz w:val="24"/>
          <w:szCs w:val="24"/>
        </w:rPr>
      </w:pPr>
      <w:r>
        <w:rPr>
          <w:rFonts w:ascii="Times New Roman" w:hAnsi="Times New Roman" w:cs="Times New Roman"/>
          <w:bCs/>
          <w:sz w:val="24"/>
          <w:szCs w:val="24"/>
        </w:rPr>
        <w:t>D</w:t>
      </w:r>
      <w:r w:rsidR="00A6751E" w:rsidRPr="00A6751E">
        <w:rPr>
          <w:rFonts w:ascii="Times New Roman" w:hAnsi="Times New Roman" w:cs="Times New Roman"/>
          <w:bCs/>
          <w:sz w:val="24"/>
          <w:szCs w:val="24"/>
        </w:rPr>
        <w:t xml:space="preserve">zięki zwiększeniu swobody w doborze pory emisji reklam, nadawcy będą mogli emitować ich większą liczbę w </w:t>
      </w:r>
      <w:proofErr w:type="spellStart"/>
      <w:r w:rsidR="00A6751E" w:rsidRPr="00A6751E">
        <w:rPr>
          <w:rFonts w:ascii="Times New Roman" w:hAnsi="Times New Roman" w:cs="Times New Roman"/>
          <w:bCs/>
          <w:i/>
          <w:iCs/>
          <w:sz w:val="24"/>
          <w:szCs w:val="24"/>
        </w:rPr>
        <w:t>prime</w:t>
      </w:r>
      <w:proofErr w:type="spellEnd"/>
      <w:r w:rsidR="00A6751E" w:rsidRPr="00A6751E">
        <w:rPr>
          <w:rFonts w:ascii="Times New Roman" w:hAnsi="Times New Roman" w:cs="Times New Roman"/>
          <w:bCs/>
          <w:i/>
          <w:iCs/>
          <w:sz w:val="24"/>
          <w:szCs w:val="24"/>
        </w:rPr>
        <w:t xml:space="preserve"> </w:t>
      </w:r>
      <w:proofErr w:type="spellStart"/>
      <w:r w:rsidR="00A6751E" w:rsidRPr="00A6751E">
        <w:rPr>
          <w:rFonts w:ascii="Times New Roman" w:hAnsi="Times New Roman" w:cs="Times New Roman"/>
          <w:bCs/>
          <w:i/>
          <w:iCs/>
          <w:sz w:val="24"/>
          <w:szCs w:val="24"/>
        </w:rPr>
        <w:t>time</w:t>
      </w:r>
      <w:proofErr w:type="spellEnd"/>
      <w:r w:rsidR="00A6751E" w:rsidRPr="00A6751E">
        <w:rPr>
          <w:rFonts w:ascii="Times New Roman" w:hAnsi="Times New Roman" w:cs="Times New Roman"/>
          <w:bCs/>
          <w:sz w:val="24"/>
          <w:szCs w:val="24"/>
        </w:rPr>
        <w:t xml:space="preserve">, z zachowaniem limitu w ciągu doby (nastąpi sprzedaż w droższym czasie po wyższej cenie). </w:t>
      </w:r>
      <w:r w:rsidR="00C66287">
        <w:rPr>
          <w:rFonts w:ascii="Times New Roman" w:hAnsi="Times New Roman" w:cs="Times New Roman"/>
          <w:bCs/>
          <w:sz w:val="24"/>
          <w:szCs w:val="24"/>
        </w:rPr>
        <w:t>S</w:t>
      </w:r>
      <w:r w:rsidR="00A6751E" w:rsidRPr="00A6751E">
        <w:rPr>
          <w:rFonts w:ascii="Times New Roman" w:hAnsi="Times New Roman" w:cs="Times New Roman"/>
          <w:bCs/>
          <w:sz w:val="24"/>
          <w:szCs w:val="24"/>
        </w:rPr>
        <w:t xml:space="preserve">ytuacja ta </w:t>
      </w:r>
      <w:r w:rsidR="00C66287">
        <w:rPr>
          <w:rFonts w:ascii="Times New Roman" w:hAnsi="Times New Roman" w:cs="Times New Roman"/>
          <w:bCs/>
          <w:sz w:val="24"/>
          <w:szCs w:val="24"/>
        </w:rPr>
        <w:t xml:space="preserve">może </w:t>
      </w:r>
      <w:r w:rsidR="00B034C1">
        <w:rPr>
          <w:rFonts w:ascii="Times New Roman" w:hAnsi="Times New Roman" w:cs="Times New Roman"/>
          <w:bCs/>
          <w:sz w:val="24"/>
          <w:szCs w:val="24"/>
        </w:rPr>
        <w:t xml:space="preserve">utrudnić odbiór programów przez </w:t>
      </w:r>
      <w:r w:rsidR="007C3975">
        <w:rPr>
          <w:rFonts w:ascii="Times New Roman" w:hAnsi="Times New Roman" w:cs="Times New Roman"/>
          <w:bCs/>
          <w:sz w:val="24"/>
          <w:szCs w:val="24"/>
        </w:rPr>
        <w:t xml:space="preserve">  </w:t>
      </w:r>
      <w:r w:rsidR="00A6751E" w:rsidRPr="00A6751E">
        <w:rPr>
          <w:rFonts w:ascii="Times New Roman" w:hAnsi="Times New Roman" w:cs="Times New Roman"/>
          <w:bCs/>
          <w:sz w:val="24"/>
          <w:szCs w:val="24"/>
        </w:rPr>
        <w:t xml:space="preserve">widzów, o ile chęć utrzymania widza i oglądalności nie stanie się dla nadawców dobrym </w:t>
      </w:r>
      <w:r w:rsidR="003D412B">
        <w:rPr>
          <w:rFonts w:ascii="Times New Roman" w:hAnsi="Times New Roman" w:cs="Times New Roman"/>
          <w:bCs/>
          <w:sz w:val="24"/>
          <w:szCs w:val="24"/>
        </w:rPr>
        <w:t>czynnikiem samoregulacyjnym</w:t>
      </w:r>
      <w:r w:rsidR="00A6751E" w:rsidRPr="00A6751E">
        <w:rPr>
          <w:rFonts w:ascii="Times New Roman" w:hAnsi="Times New Roman" w:cs="Times New Roman"/>
          <w:bCs/>
          <w:sz w:val="24"/>
          <w:szCs w:val="24"/>
        </w:rPr>
        <w:t>.</w:t>
      </w:r>
      <w:r w:rsidR="00174D4D">
        <w:rPr>
          <w:rFonts w:ascii="Times New Roman" w:hAnsi="Times New Roman" w:cs="Times New Roman"/>
          <w:bCs/>
          <w:sz w:val="24"/>
          <w:szCs w:val="24"/>
        </w:rPr>
        <w:t xml:space="preserve"> Podobne zastrzeżenia może budzić zapis dopuszczający przerywanie </w:t>
      </w:r>
      <w:r w:rsidR="00A53BF3">
        <w:rPr>
          <w:rFonts w:ascii="Times New Roman" w:hAnsi="Times New Roman" w:cs="Times New Roman"/>
          <w:bCs/>
          <w:sz w:val="24"/>
          <w:szCs w:val="24"/>
        </w:rPr>
        <w:t>filmów co</w:t>
      </w:r>
      <w:r w:rsidR="00174D4D">
        <w:rPr>
          <w:rFonts w:ascii="Times New Roman" w:hAnsi="Times New Roman" w:cs="Times New Roman"/>
          <w:bCs/>
          <w:sz w:val="24"/>
          <w:szCs w:val="24"/>
        </w:rPr>
        <w:t xml:space="preserve"> 20 minut</w:t>
      </w:r>
      <w:r>
        <w:rPr>
          <w:rFonts w:ascii="Times New Roman" w:hAnsi="Times New Roman" w:cs="Times New Roman"/>
          <w:bCs/>
          <w:sz w:val="24"/>
          <w:szCs w:val="24"/>
        </w:rPr>
        <w:t xml:space="preserve"> zamiast dotychczasowych 30</w:t>
      </w:r>
      <w:r w:rsidR="00A53BF3">
        <w:rPr>
          <w:rFonts w:ascii="Times New Roman" w:hAnsi="Times New Roman" w:cs="Times New Roman"/>
          <w:bCs/>
          <w:sz w:val="24"/>
          <w:szCs w:val="24"/>
        </w:rPr>
        <w:t>.</w:t>
      </w:r>
    </w:p>
    <w:p w:rsidR="00A6751E" w:rsidRDefault="00096790" w:rsidP="003D412B">
      <w:pPr>
        <w:spacing w:after="120"/>
        <w:jc w:val="both"/>
        <w:rPr>
          <w:rFonts w:ascii="Times New Roman" w:hAnsi="Times New Roman" w:cs="Times New Roman"/>
          <w:bCs/>
          <w:sz w:val="24"/>
          <w:szCs w:val="24"/>
        </w:rPr>
      </w:pPr>
      <w:r>
        <w:rPr>
          <w:rFonts w:ascii="Times New Roman" w:hAnsi="Times New Roman" w:cs="Times New Roman"/>
          <w:bCs/>
          <w:sz w:val="24"/>
          <w:szCs w:val="24"/>
        </w:rPr>
        <w:t>Można</w:t>
      </w:r>
      <w:r w:rsidR="00A6751E">
        <w:rPr>
          <w:rFonts w:ascii="Times New Roman" w:hAnsi="Times New Roman" w:cs="Times New Roman"/>
          <w:bCs/>
          <w:sz w:val="24"/>
          <w:szCs w:val="24"/>
        </w:rPr>
        <w:t xml:space="preserve"> przewidywać, że w</w:t>
      </w:r>
      <w:r w:rsidR="003D412B">
        <w:rPr>
          <w:rFonts w:ascii="Times New Roman" w:hAnsi="Times New Roman" w:cs="Times New Roman"/>
          <w:bCs/>
          <w:sz w:val="24"/>
          <w:szCs w:val="24"/>
        </w:rPr>
        <w:t xml:space="preserve"> krótkiej perspektywie</w:t>
      </w:r>
      <w:r w:rsidR="00A6751E" w:rsidRPr="00A6751E">
        <w:rPr>
          <w:rFonts w:ascii="Times New Roman" w:hAnsi="Times New Roman" w:cs="Times New Roman"/>
          <w:bCs/>
          <w:sz w:val="24"/>
          <w:szCs w:val="24"/>
        </w:rPr>
        <w:t xml:space="preserve"> telewizja tradycyjna</w:t>
      </w:r>
      <w:r w:rsidR="001442E7">
        <w:rPr>
          <w:rFonts w:ascii="Times New Roman" w:hAnsi="Times New Roman" w:cs="Times New Roman"/>
          <w:bCs/>
          <w:sz w:val="24"/>
          <w:szCs w:val="24"/>
        </w:rPr>
        <w:t xml:space="preserve"> może</w:t>
      </w:r>
      <w:r w:rsidR="00A6751E" w:rsidRPr="00A6751E">
        <w:rPr>
          <w:rFonts w:ascii="Times New Roman" w:hAnsi="Times New Roman" w:cs="Times New Roman"/>
          <w:bCs/>
          <w:sz w:val="24"/>
          <w:szCs w:val="24"/>
        </w:rPr>
        <w:t xml:space="preserve"> </w:t>
      </w:r>
      <w:r w:rsidR="003D412B">
        <w:rPr>
          <w:rFonts w:ascii="Times New Roman" w:hAnsi="Times New Roman" w:cs="Times New Roman"/>
          <w:bCs/>
          <w:sz w:val="24"/>
          <w:szCs w:val="24"/>
        </w:rPr>
        <w:t>zyska</w:t>
      </w:r>
      <w:r w:rsidR="001442E7">
        <w:rPr>
          <w:rFonts w:ascii="Times New Roman" w:hAnsi="Times New Roman" w:cs="Times New Roman"/>
          <w:bCs/>
          <w:sz w:val="24"/>
          <w:szCs w:val="24"/>
        </w:rPr>
        <w:t>ć</w:t>
      </w:r>
      <w:r w:rsidR="00412965">
        <w:rPr>
          <w:rFonts w:ascii="Times New Roman" w:hAnsi="Times New Roman" w:cs="Times New Roman"/>
          <w:bCs/>
          <w:sz w:val="24"/>
          <w:szCs w:val="24"/>
        </w:rPr>
        <w:t xml:space="preserve"> finansowo</w:t>
      </w:r>
      <w:r w:rsidR="00A6751E" w:rsidRPr="00A6751E">
        <w:rPr>
          <w:rFonts w:ascii="Times New Roman" w:hAnsi="Times New Roman" w:cs="Times New Roman"/>
          <w:bCs/>
          <w:sz w:val="24"/>
          <w:szCs w:val="24"/>
        </w:rPr>
        <w:t xml:space="preserve"> kosztem pozostałych mediów. Jednak w perspektywie długofalowej sytuacja ta </w:t>
      </w:r>
      <w:r w:rsidR="001442E7">
        <w:rPr>
          <w:rFonts w:ascii="Times New Roman" w:hAnsi="Times New Roman" w:cs="Times New Roman"/>
          <w:bCs/>
          <w:sz w:val="24"/>
          <w:szCs w:val="24"/>
        </w:rPr>
        <w:t>może mieć negatywny wpływ</w:t>
      </w:r>
      <w:r w:rsidR="00A6751E" w:rsidRPr="00A6751E">
        <w:rPr>
          <w:rFonts w:ascii="Times New Roman" w:hAnsi="Times New Roman" w:cs="Times New Roman"/>
          <w:bCs/>
          <w:sz w:val="24"/>
          <w:szCs w:val="24"/>
        </w:rPr>
        <w:t xml:space="preserve"> na </w:t>
      </w:r>
      <w:r w:rsidR="001442E7">
        <w:rPr>
          <w:rFonts w:ascii="Times New Roman" w:hAnsi="Times New Roman" w:cs="Times New Roman"/>
          <w:bCs/>
          <w:sz w:val="24"/>
          <w:szCs w:val="24"/>
        </w:rPr>
        <w:t>rynek</w:t>
      </w:r>
      <w:r w:rsidR="00A6751E" w:rsidRPr="00A6751E">
        <w:rPr>
          <w:rFonts w:ascii="Times New Roman" w:hAnsi="Times New Roman" w:cs="Times New Roman"/>
          <w:bCs/>
          <w:sz w:val="24"/>
          <w:szCs w:val="24"/>
        </w:rPr>
        <w:t xml:space="preserve"> mediów linearnych. </w:t>
      </w:r>
      <w:r w:rsidR="003D412B">
        <w:rPr>
          <w:rFonts w:ascii="Times New Roman" w:hAnsi="Times New Roman" w:cs="Times New Roman"/>
          <w:bCs/>
          <w:sz w:val="24"/>
          <w:szCs w:val="24"/>
        </w:rPr>
        <w:t>Prawdopodobnie s</w:t>
      </w:r>
      <w:r w:rsidR="00A6751E" w:rsidRPr="00A6751E">
        <w:rPr>
          <w:rFonts w:ascii="Times New Roman" w:hAnsi="Times New Roman" w:cs="Times New Roman"/>
          <w:bCs/>
          <w:sz w:val="24"/>
          <w:szCs w:val="24"/>
        </w:rPr>
        <w:t xml:space="preserve">padną </w:t>
      </w:r>
      <w:r w:rsidR="00A6751E">
        <w:rPr>
          <w:rFonts w:ascii="Times New Roman" w:hAnsi="Times New Roman" w:cs="Times New Roman"/>
          <w:bCs/>
          <w:sz w:val="24"/>
          <w:szCs w:val="24"/>
        </w:rPr>
        <w:t xml:space="preserve">wskaźniki </w:t>
      </w:r>
      <w:r w:rsidR="00A6751E" w:rsidRPr="00A6751E">
        <w:rPr>
          <w:rFonts w:ascii="Times New Roman" w:hAnsi="Times New Roman" w:cs="Times New Roman"/>
          <w:bCs/>
          <w:sz w:val="24"/>
          <w:szCs w:val="24"/>
        </w:rPr>
        <w:t>oglądalności i ratingi. Może wówczas wzrosnąć zainteresowanie innymi mediami</w:t>
      </w:r>
      <w:r w:rsidR="00412965">
        <w:rPr>
          <w:rFonts w:ascii="Times New Roman" w:hAnsi="Times New Roman" w:cs="Times New Roman"/>
          <w:bCs/>
          <w:sz w:val="24"/>
          <w:szCs w:val="24"/>
        </w:rPr>
        <w:t xml:space="preserve"> </w:t>
      </w:r>
      <w:r w:rsidR="00412965" w:rsidRPr="00A6751E">
        <w:rPr>
          <w:rFonts w:ascii="Times New Roman" w:hAnsi="Times New Roman" w:cs="Times New Roman"/>
          <w:bCs/>
          <w:sz w:val="24"/>
          <w:szCs w:val="24"/>
        </w:rPr>
        <w:t>np. kinem czy rek</w:t>
      </w:r>
      <w:r w:rsidR="00412965">
        <w:rPr>
          <w:rFonts w:ascii="Times New Roman" w:hAnsi="Times New Roman" w:cs="Times New Roman"/>
          <w:bCs/>
          <w:sz w:val="24"/>
          <w:szCs w:val="24"/>
        </w:rPr>
        <w:t xml:space="preserve">lamą zewnętrzną oraz </w:t>
      </w:r>
      <w:r w:rsidR="00412965" w:rsidRPr="00A6751E">
        <w:rPr>
          <w:rFonts w:ascii="Times New Roman" w:hAnsi="Times New Roman" w:cs="Times New Roman"/>
          <w:bCs/>
          <w:sz w:val="24"/>
          <w:szCs w:val="24"/>
        </w:rPr>
        <w:t>innymi rodzajami kampanii, np. na platformach sp</w:t>
      </w:r>
      <w:r w:rsidR="00412965">
        <w:rPr>
          <w:rFonts w:ascii="Times New Roman" w:hAnsi="Times New Roman" w:cs="Times New Roman"/>
          <w:bCs/>
          <w:sz w:val="24"/>
          <w:szCs w:val="24"/>
        </w:rPr>
        <w:t>ołecznościowych.  J</w:t>
      </w:r>
      <w:r w:rsidR="00A6751E" w:rsidRPr="00A6751E">
        <w:rPr>
          <w:rFonts w:ascii="Times New Roman" w:hAnsi="Times New Roman" w:cs="Times New Roman"/>
          <w:bCs/>
          <w:sz w:val="24"/>
          <w:szCs w:val="24"/>
        </w:rPr>
        <w:t>ednak cen</w:t>
      </w:r>
      <w:r w:rsidR="003D412B">
        <w:rPr>
          <w:rFonts w:ascii="Times New Roman" w:hAnsi="Times New Roman" w:cs="Times New Roman"/>
          <w:bCs/>
          <w:sz w:val="24"/>
          <w:szCs w:val="24"/>
        </w:rPr>
        <w:t>y netto reklamy</w:t>
      </w:r>
      <w:r w:rsidR="00DD74FF">
        <w:rPr>
          <w:rFonts w:ascii="Times New Roman" w:hAnsi="Times New Roman" w:cs="Times New Roman"/>
          <w:bCs/>
          <w:sz w:val="24"/>
          <w:szCs w:val="24"/>
        </w:rPr>
        <w:t xml:space="preserve"> online są i tak bardzo niskie a</w:t>
      </w:r>
      <w:r w:rsidR="00A6751E" w:rsidRPr="00A6751E">
        <w:rPr>
          <w:rFonts w:ascii="Times New Roman" w:hAnsi="Times New Roman" w:cs="Times New Roman"/>
          <w:bCs/>
          <w:sz w:val="24"/>
          <w:szCs w:val="24"/>
        </w:rPr>
        <w:t xml:space="preserve"> na</w:t>
      </w:r>
      <w:r w:rsidR="00DD74FF">
        <w:rPr>
          <w:rFonts w:ascii="Times New Roman" w:hAnsi="Times New Roman" w:cs="Times New Roman"/>
          <w:bCs/>
          <w:sz w:val="24"/>
          <w:szCs w:val="24"/>
        </w:rPr>
        <w:t>tłok reklam display jest bardzo duży</w:t>
      </w:r>
      <w:r w:rsidR="00A6751E" w:rsidRPr="00A6751E">
        <w:rPr>
          <w:rFonts w:ascii="Times New Roman" w:hAnsi="Times New Roman" w:cs="Times New Roman"/>
          <w:bCs/>
          <w:sz w:val="24"/>
          <w:szCs w:val="24"/>
        </w:rPr>
        <w:t>. Nie ma pewności</w:t>
      </w:r>
      <w:r w:rsidR="003D412B">
        <w:rPr>
          <w:rFonts w:ascii="Times New Roman" w:hAnsi="Times New Roman" w:cs="Times New Roman"/>
          <w:bCs/>
          <w:sz w:val="24"/>
          <w:szCs w:val="24"/>
        </w:rPr>
        <w:t>,</w:t>
      </w:r>
      <w:r w:rsidR="00A6751E" w:rsidRPr="00A6751E">
        <w:rPr>
          <w:rFonts w:ascii="Times New Roman" w:hAnsi="Times New Roman" w:cs="Times New Roman"/>
          <w:bCs/>
          <w:sz w:val="24"/>
          <w:szCs w:val="24"/>
        </w:rPr>
        <w:t xml:space="preserve"> jaki udział i jakiej widowni przeniesie się do ser</w:t>
      </w:r>
      <w:r w:rsidR="001442E7">
        <w:rPr>
          <w:rFonts w:ascii="Times New Roman" w:hAnsi="Times New Roman" w:cs="Times New Roman"/>
          <w:bCs/>
          <w:sz w:val="24"/>
          <w:szCs w:val="24"/>
        </w:rPr>
        <w:t xml:space="preserve">wisów online. Konsekwencje tych zmian i ich </w:t>
      </w:r>
      <w:r w:rsidR="00DC18DA">
        <w:rPr>
          <w:rFonts w:ascii="Times New Roman" w:hAnsi="Times New Roman" w:cs="Times New Roman"/>
          <w:bCs/>
          <w:sz w:val="24"/>
          <w:szCs w:val="24"/>
        </w:rPr>
        <w:t>wpływ</w:t>
      </w:r>
      <w:r w:rsidR="001442E7">
        <w:rPr>
          <w:rFonts w:ascii="Times New Roman" w:hAnsi="Times New Roman" w:cs="Times New Roman"/>
          <w:bCs/>
          <w:sz w:val="24"/>
          <w:szCs w:val="24"/>
        </w:rPr>
        <w:t xml:space="preserve"> na rynek</w:t>
      </w:r>
      <w:r w:rsidR="00412965">
        <w:rPr>
          <w:rFonts w:ascii="Times New Roman" w:hAnsi="Times New Roman" w:cs="Times New Roman"/>
          <w:bCs/>
          <w:sz w:val="24"/>
          <w:szCs w:val="24"/>
        </w:rPr>
        <w:t xml:space="preserve"> nie zostały skalkulowane przez projektodawcę.</w:t>
      </w:r>
    </w:p>
    <w:p w:rsidR="00412965" w:rsidRPr="00A6751E" w:rsidRDefault="00412965" w:rsidP="003D412B">
      <w:pPr>
        <w:spacing w:after="120"/>
        <w:jc w:val="both"/>
        <w:rPr>
          <w:rFonts w:ascii="Times New Roman" w:hAnsi="Times New Roman" w:cs="Times New Roman"/>
          <w:bCs/>
          <w:sz w:val="24"/>
          <w:szCs w:val="24"/>
        </w:rPr>
      </w:pPr>
    </w:p>
    <w:p w:rsidR="00FD4D62" w:rsidRPr="00D14335" w:rsidRDefault="00FD4D62"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t>P</w:t>
      </w:r>
      <w:r w:rsidRPr="00AD0DE9">
        <w:rPr>
          <w:rFonts w:ascii="Times New Roman" w:hAnsi="Times New Roman" w:cs="Times New Roman"/>
          <w:b/>
          <w:sz w:val="24"/>
          <w:szCs w:val="24"/>
        </w:rPr>
        <w:t>latformy udostępniania plików wideo</w:t>
      </w:r>
    </w:p>
    <w:p w:rsidR="009C6324" w:rsidRPr="009C6324" w:rsidRDefault="009C6324" w:rsidP="00B04939">
      <w:pPr>
        <w:spacing w:after="120"/>
        <w:jc w:val="both"/>
        <w:rPr>
          <w:rFonts w:ascii="Times New Roman" w:hAnsi="Times New Roman" w:cs="Times New Roman"/>
          <w:sz w:val="24"/>
          <w:szCs w:val="24"/>
        </w:rPr>
      </w:pPr>
      <w:r w:rsidRPr="009C6324">
        <w:rPr>
          <w:rFonts w:ascii="Times New Roman" w:hAnsi="Times New Roman" w:cs="Times New Roman"/>
          <w:sz w:val="24"/>
          <w:szCs w:val="24"/>
        </w:rPr>
        <w:t>Projekt dyrektywy wypełnia lukę w obecnych regulacjach dotyczących dostarczania ogółowi odbiorców treści nielinearnych w postaci audycji i plików wideo, w związku z rozwojem tego typu usług i wzrastającą ich popularnością.  Proponowane zapisy wydają się gwarantować skuteczność regulacji</w:t>
      </w:r>
      <w:r w:rsidR="006C064C">
        <w:rPr>
          <w:rFonts w:ascii="Times New Roman" w:hAnsi="Times New Roman" w:cs="Times New Roman"/>
          <w:sz w:val="24"/>
          <w:szCs w:val="24"/>
        </w:rPr>
        <w:t xml:space="preserve"> dzięki obowiązkowi ujawniania dostawców platform organom właściwym ze względu na miejsce jurysdykcji oraz dzięki wskazaniu </w:t>
      </w:r>
      <w:r w:rsidRPr="009C6324">
        <w:rPr>
          <w:rFonts w:ascii="Times New Roman" w:hAnsi="Times New Roman" w:cs="Times New Roman"/>
          <w:sz w:val="24"/>
          <w:szCs w:val="24"/>
        </w:rPr>
        <w:t xml:space="preserve">na odpowiedzialność </w:t>
      </w:r>
      <w:r w:rsidRPr="009C6324">
        <w:rPr>
          <w:rFonts w:ascii="Times New Roman" w:hAnsi="Times New Roman" w:cs="Times New Roman"/>
          <w:sz w:val="24"/>
          <w:szCs w:val="24"/>
        </w:rPr>
        <w:lastRenderedPageBreak/>
        <w:t>dostawców platform udostępniania plików wideo</w:t>
      </w:r>
      <w:r w:rsidR="006C064C">
        <w:rPr>
          <w:rFonts w:ascii="Times New Roman" w:hAnsi="Times New Roman" w:cs="Times New Roman"/>
          <w:sz w:val="24"/>
          <w:szCs w:val="24"/>
        </w:rPr>
        <w:t xml:space="preserve"> </w:t>
      </w:r>
      <w:r w:rsidRPr="009C6324">
        <w:rPr>
          <w:rFonts w:ascii="Times New Roman" w:hAnsi="Times New Roman" w:cs="Times New Roman"/>
          <w:sz w:val="24"/>
          <w:szCs w:val="24"/>
        </w:rPr>
        <w:t>w zakresie ochrony małoletnich przed treściami, które mogą zaszkodzić ich fizycznemu, psy</w:t>
      </w:r>
      <w:r w:rsidR="006C064C">
        <w:rPr>
          <w:rFonts w:ascii="Times New Roman" w:hAnsi="Times New Roman" w:cs="Times New Roman"/>
          <w:sz w:val="24"/>
          <w:szCs w:val="24"/>
        </w:rPr>
        <w:t xml:space="preserve">chicznemu i moralnemu rozwojowi oraz </w:t>
      </w:r>
      <w:r w:rsidRPr="009C6324">
        <w:rPr>
          <w:rFonts w:ascii="Times New Roman" w:hAnsi="Times New Roman" w:cs="Times New Roman"/>
          <w:sz w:val="24"/>
          <w:szCs w:val="24"/>
        </w:rPr>
        <w:t>ochrony wszystkich obywateli przed treściami nawołującymi do nienawiści i przemocy.</w:t>
      </w:r>
    </w:p>
    <w:p w:rsidR="009C6324" w:rsidRPr="009C6324" w:rsidRDefault="009C6324" w:rsidP="009C6324">
      <w:pPr>
        <w:spacing w:after="120"/>
        <w:jc w:val="both"/>
        <w:rPr>
          <w:rFonts w:ascii="Times New Roman" w:hAnsi="Times New Roman" w:cs="Times New Roman"/>
          <w:sz w:val="24"/>
          <w:szCs w:val="24"/>
        </w:rPr>
      </w:pPr>
      <w:r w:rsidRPr="009C6324">
        <w:rPr>
          <w:rFonts w:ascii="Times New Roman" w:hAnsi="Times New Roman" w:cs="Times New Roman"/>
          <w:sz w:val="24"/>
          <w:szCs w:val="24"/>
        </w:rPr>
        <w:t>Skutecznem</w:t>
      </w:r>
      <w:r w:rsidR="00B04939">
        <w:rPr>
          <w:rFonts w:ascii="Times New Roman" w:hAnsi="Times New Roman" w:cs="Times New Roman"/>
          <w:sz w:val="24"/>
          <w:szCs w:val="24"/>
        </w:rPr>
        <w:t>u zapobieganiu rozpowszechniania</w:t>
      </w:r>
      <w:r w:rsidRPr="009C6324">
        <w:rPr>
          <w:rFonts w:ascii="Times New Roman" w:hAnsi="Times New Roman" w:cs="Times New Roman"/>
          <w:sz w:val="24"/>
          <w:szCs w:val="24"/>
        </w:rPr>
        <w:t xml:space="preserve"> tego typu treści mają służyć przede wszystkim  wyraźne ich zdefiniowanie w regulaminie dostawcy usługi oraz stworzenie i obsługa mechanizmów oceny treści i zgłaszania skarg dotyczących treści niepożądanych.</w:t>
      </w:r>
    </w:p>
    <w:p w:rsidR="00705C16" w:rsidRDefault="00B879C1" w:rsidP="00B879C1">
      <w:pPr>
        <w:spacing w:after="120"/>
        <w:jc w:val="both"/>
        <w:rPr>
          <w:rFonts w:ascii="Times New Roman" w:hAnsi="Times New Roman" w:cs="Times New Roman"/>
          <w:sz w:val="24"/>
          <w:szCs w:val="24"/>
        </w:rPr>
      </w:pPr>
      <w:r>
        <w:rPr>
          <w:rFonts w:ascii="Times New Roman" w:hAnsi="Times New Roman" w:cs="Times New Roman"/>
          <w:sz w:val="24"/>
          <w:szCs w:val="24"/>
        </w:rPr>
        <w:t>Wypełnianie z</w:t>
      </w:r>
      <w:r w:rsidR="009C6324" w:rsidRPr="009C6324">
        <w:rPr>
          <w:rFonts w:ascii="Times New Roman" w:hAnsi="Times New Roman" w:cs="Times New Roman"/>
          <w:sz w:val="24"/>
          <w:szCs w:val="24"/>
        </w:rPr>
        <w:t>adani</w:t>
      </w:r>
      <w:r>
        <w:rPr>
          <w:rFonts w:ascii="Times New Roman" w:hAnsi="Times New Roman" w:cs="Times New Roman"/>
          <w:sz w:val="24"/>
          <w:szCs w:val="24"/>
        </w:rPr>
        <w:t>a</w:t>
      </w:r>
      <w:r w:rsidR="009C6324" w:rsidRPr="009C6324">
        <w:rPr>
          <w:rFonts w:ascii="Times New Roman" w:hAnsi="Times New Roman" w:cs="Times New Roman"/>
          <w:sz w:val="24"/>
          <w:szCs w:val="24"/>
        </w:rPr>
        <w:t xml:space="preserve"> oceny odpowiedniości środków stosowanych przez dostawców platform</w:t>
      </w:r>
      <w:r>
        <w:rPr>
          <w:rFonts w:ascii="Times New Roman" w:hAnsi="Times New Roman" w:cs="Times New Roman"/>
          <w:sz w:val="24"/>
          <w:szCs w:val="24"/>
        </w:rPr>
        <w:t>, które zostało</w:t>
      </w:r>
      <w:r w:rsidR="006C064C" w:rsidRPr="006C064C">
        <w:rPr>
          <w:rFonts w:ascii="Times New Roman" w:hAnsi="Times New Roman" w:cs="Times New Roman"/>
          <w:sz w:val="24"/>
          <w:szCs w:val="24"/>
        </w:rPr>
        <w:t xml:space="preserve"> </w:t>
      </w:r>
      <w:r w:rsidR="006C064C" w:rsidRPr="009C6324">
        <w:rPr>
          <w:rFonts w:ascii="Times New Roman" w:hAnsi="Times New Roman" w:cs="Times New Roman"/>
          <w:sz w:val="24"/>
          <w:szCs w:val="24"/>
        </w:rPr>
        <w:t>powierz</w:t>
      </w:r>
      <w:r w:rsidR="006C064C">
        <w:rPr>
          <w:rFonts w:ascii="Times New Roman" w:hAnsi="Times New Roman" w:cs="Times New Roman"/>
          <w:sz w:val="24"/>
          <w:szCs w:val="24"/>
        </w:rPr>
        <w:t xml:space="preserve">one </w:t>
      </w:r>
      <w:r w:rsidR="006C064C" w:rsidRPr="009C6324">
        <w:rPr>
          <w:rFonts w:ascii="Times New Roman" w:hAnsi="Times New Roman" w:cs="Times New Roman"/>
          <w:sz w:val="24"/>
          <w:szCs w:val="24"/>
        </w:rPr>
        <w:t>właściwym organom regulacyjnym</w:t>
      </w:r>
      <w:r w:rsidR="006C064C" w:rsidRPr="006C064C">
        <w:rPr>
          <w:rFonts w:ascii="Times New Roman" w:hAnsi="Times New Roman" w:cs="Times New Roman"/>
          <w:sz w:val="24"/>
          <w:szCs w:val="24"/>
        </w:rPr>
        <w:t xml:space="preserve"> </w:t>
      </w:r>
      <w:r w:rsidR="006C064C">
        <w:rPr>
          <w:rFonts w:ascii="Times New Roman" w:hAnsi="Times New Roman" w:cs="Times New Roman"/>
          <w:sz w:val="24"/>
          <w:szCs w:val="24"/>
        </w:rPr>
        <w:t>państw</w:t>
      </w:r>
      <w:r w:rsidR="006C064C" w:rsidRPr="009C6324">
        <w:rPr>
          <w:rFonts w:ascii="Times New Roman" w:hAnsi="Times New Roman" w:cs="Times New Roman"/>
          <w:sz w:val="24"/>
          <w:szCs w:val="24"/>
        </w:rPr>
        <w:t xml:space="preserve"> członkowski</w:t>
      </w:r>
      <w:r w:rsidR="006C064C">
        <w:rPr>
          <w:rFonts w:ascii="Times New Roman" w:hAnsi="Times New Roman" w:cs="Times New Roman"/>
          <w:sz w:val="24"/>
          <w:szCs w:val="24"/>
        </w:rPr>
        <w:t>ch</w:t>
      </w:r>
      <w:r w:rsidR="00B04939">
        <w:rPr>
          <w:rFonts w:ascii="Times New Roman" w:hAnsi="Times New Roman" w:cs="Times New Roman"/>
          <w:sz w:val="24"/>
          <w:szCs w:val="24"/>
        </w:rPr>
        <w:t>,</w:t>
      </w:r>
      <w:r>
        <w:rPr>
          <w:rFonts w:ascii="Times New Roman" w:hAnsi="Times New Roman" w:cs="Times New Roman"/>
          <w:sz w:val="24"/>
          <w:szCs w:val="24"/>
        </w:rPr>
        <w:t xml:space="preserve"> uzależnione jest </w:t>
      </w:r>
      <w:r w:rsidR="00574D59">
        <w:rPr>
          <w:rFonts w:ascii="Times New Roman" w:hAnsi="Times New Roman" w:cs="Times New Roman"/>
          <w:sz w:val="24"/>
          <w:szCs w:val="24"/>
        </w:rPr>
        <w:t xml:space="preserve">jednak </w:t>
      </w:r>
      <w:r>
        <w:rPr>
          <w:rFonts w:ascii="Times New Roman" w:hAnsi="Times New Roman" w:cs="Times New Roman"/>
          <w:sz w:val="24"/>
          <w:szCs w:val="24"/>
        </w:rPr>
        <w:t>od właściwej implementacji nowej postaci art. 30 dyrektywy</w:t>
      </w:r>
      <w:r w:rsidR="009C6324" w:rsidRPr="009C6324">
        <w:rPr>
          <w:rFonts w:ascii="Times New Roman" w:hAnsi="Times New Roman" w:cs="Times New Roman"/>
          <w:sz w:val="24"/>
          <w:szCs w:val="24"/>
        </w:rPr>
        <w:t xml:space="preserve">.     </w:t>
      </w:r>
    </w:p>
    <w:p w:rsidR="009C6324" w:rsidRPr="009C6324" w:rsidRDefault="009C6324" w:rsidP="00B879C1">
      <w:pPr>
        <w:spacing w:after="120"/>
        <w:jc w:val="both"/>
        <w:rPr>
          <w:rFonts w:ascii="Times New Roman" w:hAnsi="Times New Roman" w:cs="Times New Roman"/>
          <w:sz w:val="24"/>
          <w:szCs w:val="24"/>
        </w:rPr>
      </w:pPr>
      <w:r w:rsidRPr="009C6324">
        <w:rPr>
          <w:rFonts w:ascii="Times New Roman" w:hAnsi="Times New Roman" w:cs="Times New Roman"/>
          <w:sz w:val="24"/>
          <w:szCs w:val="24"/>
        </w:rPr>
        <w:t xml:space="preserve">    </w:t>
      </w:r>
    </w:p>
    <w:p w:rsidR="00B879C1" w:rsidRDefault="00393BA0" w:rsidP="003E1358">
      <w:pPr>
        <w:pStyle w:val="Akapitzlist"/>
        <w:numPr>
          <w:ilvl w:val="0"/>
          <w:numId w:val="1"/>
        </w:numPr>
        <w:spacing w:after="120"/>
        <w:ind w:hanging="578"/>
        <w:rPr>
          <w:rFonts w:ascii="Times New Roman" w:hAnsi="Times New Roman" w:cs="Times New Roman"/>
          <w:b/>
          <w:sz w:val="24"/>
          <w:szCs w:val="24"/>
        </w:rPr>
      </w:pPr>
      <w:r>
        <w:rPr>
          <w:rFonts w:ascii="Times New Roman" w:hAnsi="Times New Roman" w:cs="Times New Roman"/>
          <w:b/>
          <w:sz w:val="24"/>
          <w:szCs w:val="24"/>
        </w:rPr>
        <w:t>Dostępność audiowizualnych usług medialnych dla osób z niepełnosprawnością sensoryczną</w:t>
      </w:r>
    </w:p>
    <w:p w:rsidR="00705C16" w:rsidRDefault="00705C16" w:rsidP="00705C16">
      <w:pPr>
        <w:pStyle w:val="Akapitzlist"/>
        <w:spacing w:after="120"/>
        <w:rPr>
          <w:rFonts w:ascii="Times New Roman" w:hAnsi="Times New Roman" w:cs="Times New Roman"/>
          <w:b/>
          <w:sz w:val="24"/>
          <w:szCs w:val="24"/>
        </w:rPr>
      </w:pPr>
    </w:p>
    <w:p w:rsidR="00B879C1" w:rsidRDefault="00B879C1" w:rsidP="00B879C1">
      <w:pPr>
        <w:spacing w:after="120"/>
        <w:jc w:val="both"/>
        <w:rPr>
          <w:rFonts w:asciiTheme="majorBidi" w:hAnsiTheme="majorBidi" w:cstheme="majorBidi"/>
          <w:sz w:val="24"/>
          <w:szCs w:val="24"/>
        </w:rPr>
      </w:pPr>
      <w:r w:rsidRPr="00B879C1">
        <w:rPr>
          <w:rFonts w:asciiTheme="majorBidi" w:hAnsiTheme="majorBidi" w:cstheme="majorBidi"/>
          <w:sz w:val="24"/>
          <w:szCs w:val="24"/>
        </w:rPr>
        <w:t xml:space="preserve">W dotychczas obowiązującej Dyrektywie o audiowizualnych usługach medialnych potrzeby osób niepełnosprawnych  </w:t>
      </w:r>
      <w:r>
        <w:rPr>
          <w:rFonts w:asciiTheme="majorBidi" w:hAnsiTheme="majorBidi" w:cstheme="majorBidi"/>
          <w:sz w:val="24"/>
          <w:szCs w:val="24"/>
        </w:rPr>
        <w:t>uwzględnione są w motywie 46 i a</w:t>
      </w:r>
      <w:r w:rsidRPr="00B879C1">
        <w:rPr>
          <w:rFonts w:asciiTheme="majorBidi" w:hAnsiTheme="majorBidi" w:cstheme="majorBidi"/>
          <w:sz w:val="24"/>
          <w:szCs w:val="24"/>
        </w:rPr>
        <w:t>rt. 7</w:t>
      </w:r>
      <w:r>
        <w:rPr>
          <w:rFonts w:asciiTheme="majorBidi" w:hAnsiTheme="majorBidi" w:cstheme="majorBidi"/>
          <w:sz w:val="24"/>
          <w:szCs w:val="24"/>
        </w:rPr>
        <w:t xml:space="preserve">. </w:t>
      </w:r>
    </w:p>
    <w:p w:rsidR="00B879C1" w:rsidRPr="00B879C1" w:rsidRDefault="00B879C1" w:rsidP="00174D4D">
      <w:pPr>
        <w:spacing w:after="120"/>
        <w:jc w:val="both"/>
        <w:rPr>
          <w:rFonts w:asciiTheme="majorBidi" w:hAnsiTheme="majorBidi" w:cstheme="majorBidi"/>
          <w:sz w:val="24"/>
          <w:szCs w:val="24"/>
        </w:rPr>
      </w:pPr>
      <w:r w:rsidRPr="00B879C1">
        <w:rPr>
          <w:rFonts w:asciiTheme="majorBidi" w:hAnsiTheme="majorBidi" w:cstheme="majorBidi"/>
          <w:sz w:val="24"/>
          <w:szCs w:val="24"/>
        </w:rPr>
        <w:t xml:space="preserve">Proponowana przez KE nowelizacja ww. Dyrektywy </w:t>
      </w:r>
      <w:r w:rsidR="00393BA0">
        <w:rPr>
          <w:rFonts w:asciiTheme="majorBidi" w:hAnsiTheme="majorBidi" w:cstheme="majorBidi"/>
          <w:sz w:val="24"/>
          <w:szCs w:val="24"/>
        </w:rPr>
        <w:t>w</w:t>
      </w:r>
      <w:r w:rsidRPr="00B879C1">
        <w:rPr>
          <w:rFonts w:asciiTheme="majorBidi" w:hAnsiTheme="majorBidi" w:cstheme="majorBidi"/>
          <w:sz w:val="24"/>
          <w:szCs w:val="24"/>
        </w:rPr>
        <w:t>ykreśl</w:t>
      </w:r>
      <w:r w:rsidR="00393BA0">
        <w:rPr>
          <w:rFonts w:asciiTheme="majorBidi" w:hAnsiTheme="majorBidi" w:cstheme="majorBidi"/>
          <w:sz w:val="24"/>
          <w:szCs w:val="24"/>
        </w:rPr>
        <w:t>a</w:t>
      </w:r>
      <w:r w:rsidRPr="00B879C1">
        <w:rPr>
          <w:rFonts w:asciiTheme="majorBidi" w:hAnsiTheme="majorBidi" w:cstheme="majorBidi"/>
          <w:sz w:val="24"/>
          <w:szCs w:val="24"/>
        </w:rPr>
        <w:t xml:space="preserve"> art. 7 uzasadnia</w:t>
      </w:r>
      <w:r w:rsidR="00393BA0">
        <w:rPr>
          <w:rFonts w:asciiTheme="majorBidi" w:hAnsiTheme="majorBidi" w:cstheme="majorBidi"/>
          <w:sz w:val="24"/>
          <w:szCs w:val="24"/>
        </w:rPr>
        <w:t>jąc</w:t>
      </w:r>
      <w:r w:rsidRPr="00B879C1">
        <w:rPr>
          <w:rFonts w:asciiTheme="majorBidi" w:hAnsiTheme="majorBidi" w:cstheme="majorBidi"/>
          <w:sz w:val="24"/>
          <w:szCs w:val="24"/>
        </w:rPr>
        <w:t xml:space="preserve">, że </w:t>
      </w:r>
      <w:r w:rsidR="001876CA">
        <w:rPr>
          <w:rFonts w:asciiTheme="majorBidi" w:hAnsiTheme="majorBidi" w:cstheme="majorBidi"/>
          <w:i/>
          <w:sz w:val="24"/>
          <w:szCs w:val="24"/>
        </w:rPr>
        <w:t>w Europejskim A</w:t>
      </w:r>
      <w:r w:rsidRPr="00B879C1">
        <w:rPr>
          <w:rFonts w:asciiTheme="majorBidi" w:hAnsiTheme="majorBidi" w:cstheme="majorBidi"/>
          <w:i/>
          <w:sz w:val="24"/>
          <w:szCs w:val="24"/>
        </w:rPr>
        <w:t xml:space="preserve">kcie </w:t>
      </w:r>
      <w:r w:rsidR="00D62964">
        <w:rPr>
          <w:rFonts w:asciiTheme="majorBidi" w:hAnsiTheme="majorBidi" w:cstheme="majorBidi"/>
          <w:i/>
          <w:sz w:val="24"/>
          <w:szCs w:val="24"/>
        </w:rPr>
        <w:t xml:space="preserve">o </w:t>
      </w:r>
      <w:r w:rsidRPr="00B879C1">
        <w:rPr>
          <w:rFonts w:asciiTheme="majorBidi" w:hAnsiTheme="majorBidi" w:cstheme="majorBidi"/>
          <w:i/>
          <w:sz w:val="24"/>
          <w:szCs w:val="24"/>
        </w:rPr>
        <w:t>dostępności</w:t>
      </w:r>
      <w:r w:rsidRPr="00B879C1">
        <w:rPr>
          <w:rFonts w:asciiTheme="majorBidi" w:hAnsiTheme="majorBidi" w:cstheme="majorBidi"/>
          <w:sz w:val="24"/>
          <w:szCs w:val="24"/>
        </w:rPr>
        <w:t xml:space="preserve"> określono już surowsze wspólne</w:t>
      </w:r>
      <w:r w:rsidR="00486DA5">
        <w:rPr>
          <w:rFonts w:asciiTheme="majorBidi" w:hAnsiTheme="majorBidi" w:cstheme="majorBidi"/>
          <w:sz w:val="24"/>
          <w:szCs w:val="24"/>
        </w:rPr>
        <w:t xml:space="preserve"> dla wielu sektorów gospodarki</w:t>
      </w:r>
      <w:r w:rsidRPr="00B879C1">
        <w:rPr>
          <w:rFonts w:asciiTheme="majorBidi" w:hAnsiTheme="majorBidi" w:cstheme="majorBidi"/>
          <w:sz w:val="24"/>
          <w:szCs w:val="24"/>
        </w:rPr>
        <w:t xml:space="preserve"> wymogi dotyczące dostępności, </w:t>
      </w:r>
      <w:r w:rsidR="00486DA5">
        <w:rPr>
          <w:rFonts w:asciiTheme="majorBidi" w:hAnsiTheme="majorBidi" w:cstheme="majorBidi"/>
          <w:sz w:val="24"/>
          <w:szCs w:val="24"/>
        </w:rPr>
        <w:t xml:space="preserve">w tym także </w:t>
      </w:r>
      <w:r w:rsidRPr="00B879C1">
        <w:rPr>
          <w:rFonts w:asciiTheme="majorBidi" w:hAnsiTheme="majorBidi" w:cstheme="majorBidi"/>
          <w:sz w:val="24"/>
          <w:szCs w:val="24"/>
        </w:rPr>
        <w:t xml:space="preserve">obowiązujące dostawców usług medialnych. </w:t>
      </w:r>
    </w:p>
    <w:p w:rsidR="00B879C1" w:rsidRPr="00B94E0E" w:rsidRDefault="00B879C1" w:rsidP="0067443B">
      <w:pPr>
        <w:spacing w:after="120"/>
        <w:jc w:val="both"/>
        <w:rPr>
          <w:rFonts w:ascii="Times New Roman" w:hAnsi="Times New Roman" w:cs="Times New Roman"/>
          <w:sz w:val="24"/>
          <w:szCs w:val="24"/>
        </w:rPr>
      </w:pPr>
      <w:r w:rsidRPr="00B879C1">
        <w:rPr>
          <w:rFonts w:asciiTheme="majorBidi" w:hAnsiTheme="majorBidi" w:cstheme="majorBidi"/>
          <w:sz w:val="24"/>
          <w:szCs w:val="24"/>
        </w:rPr>
        <w:t xml:space="preserve">Akt ten </w:t>
      </w:r>
      <w:r w:rsidR="00705C16">
        <w:rPr>
          <w:rFonts w:asciiTheme="majorBidi" w:hAnsiTheme="majorBidi" w:cstheme="majorBidi"/>
          <w:sz w:val="24"/>
          <w:szCs w:val="24"/>
        </w:rPr>
        <w:t xml:space="preserve">jednak </w:t>
      </w:r>
      <w:r w:rsidRPr="00B879C1">
        <w:rPr>
          <w:rFonts w:asciiTheme="majorBidi" w:hAnsiTheme="majorBidi" w:cstheme="majorBidi"/>
          <w:sz w:val="24"/>
          <w:szCs w:val="24"/>
        </w:rPr>
        <w:t>nie został jeszcze przyjęty przez Parlament Europejski i Radę (2.12.2015 r. projekt dyrektywy w tej sprawie został upubliczniony przez KE)</w:t>
      </w:r>
      <w:r w:rsidR="001C75EA">
        <w:rPr>
          <w:rFonts w:asciiTheme="majorBidi" w:hAnsiTheme="majorBidi" w:cstheme="majorBidi"/>
          <w:sz w:val="24"/>
          <w:szCs w:val="24"/>
        </w:rPr>
        <w:t xml:space="preserve">, a ponadto </w:t>
      </w:r>
      <w:r w:rsidR="007E1DC4">
        <w:rPr>
          <w:rFonts w:asciiTheme="majorBidi" w:hAnsiTheme="majorBidi" w:cstheme="majorBidi"/>
          <w:sz w:val="24"/>
          <w:szCs w:val="24"/>
        </w:rPr>
        <w:t xml:space="preserve">projektowane w nim </w:t>
      </w:r>
      <w:r w:rsidR="00B94E0E">
        <w:rPr>
          <w:rFonts w:asciiTheme="majorBidi" w:hAnsiTheme="majorBidi" w:cstheme="majorBidi"/>
          <w:sz w:val="24"/>
          <w:szCs w:val="24"/>
        </w:rPr>
        <w:t xml:space="preserve">zapowiadane </w:t>
      </w:r>
      <w:r w:rsidR="007E1DC4">
        <w:rPr>
          <w:rFonts w:asciiTheme="majorBidi" w:hAnsiTheme="majorBidi" w:cstheme="majorBidi"/>
          <w:sz w:val="24"/>
          <w:szCs w:val="24"/>
        </w:rPr>
        <w:t xml:space="preserve">surowsze wymogi nie dotyczą ilości </w:t>
      </w:r>
      <w:proofErr w:type="spellStart"/>
      <w:r w:rsidR="001C75EA">
        <w:rPr>
          <w:rFonts w:asciiTheme="majorBidi" w:hAnsiTheme="majorBidi" w:cstheme="majorBidi"/>
          <w:sz w:val="24"/>
          <w:szCs w:val="24"/>
        </w:rPr>
        <w:t>audiodeskrypcji</w:t>
      </w:r>
      <w:proofErr w:type="spellEnd"/>
      <w:r w:rsidR="001C75EA">
        <w:rPr>
          <w:rFonts w:asciiTheme="majorBidi" w:hAnsiTheme="majorBidi" w:cstheme="majorBidi"/>
          <w:sz w:val="24"/>
          <w:szCs w:val="24"/>
        </w:rPr>
        <w:t xml:space="preserve">, tłumaczenia na język migowy oraz napisów dla niesłyszących w audiowizualnych usługach medialnych, lecz </w:t>
      </w:r>
      <w:r w:rsidR="007E1DC4">
        <w:rPr>
          <w:rFonts w:asciiTheme="majorBidi" w:hAnsiTheme="majorBidi" w:cstheme="majorBidi"/>
          <w:sz w:val="24"/>
          <w:szCs w:val="24"/>
        </w:rPr>
        <w:t>dostępności stron internetowych  oraz informowania o dostępności usług</w:t>
      </w:r>
      <w:r w:rsidR="002F190A">
        <w:rPr>
          <w:rFonts w:asciiTheme="majorBidi" w:hAnsiTheme="majorBidi" w:cstheme="majorBidi"/>
          <w:sz w:val="24"/>
          <w:szCs w:val="24"/>
        </w:rPr>
        <w:t>.</w:t>
      </w:r>
      <w:r w:rsidR="001876CA">
        <w:rPr>
          <w:rFonts w:asciiTheme="majorBidi" w:hAnsiTheme="majorBidi" w:cstheme="majorBidi"/>
          <w:sz w:val="24"/>
          <w:szCs w:val="24"/>
        </w:rPr>
        <w:t xml:space="preserve"> Projektowany zapis, </w:t>
      </w:r>
      <w:r w:rsidR="001876CA" w:rsidRPr="00486DA5">
        <w:rPr>
          <w:rFonts w:asciiTheme="majorBidi" w:hAnsiTheme="majorBidi" w:cstheme="majorBidi"/>
          <w:i/>
          <w:sz w:val="24"/>
          <w:szCs w:val="24"/>
        </w:rPr>
        <w:t>nota bene</w:t>
      </w:r>
      <w:r w:rsidR="00486DA5">
        <w:rPr>
          <w:rFonts w:asciiTheme="majorBidi" w:hAnsiTheme="majorBidi" w:cstheme="majorBidi"/>
          <w:sz w:val="24"/>
          <w:szCs w:val="24"/>
        </w:rPr>
        <w:t>,</w:t>
      </w:r>
      <w:r w:rsidR="001876CA">
        <w:rPr>
          <w:rFonts w:asciiTheme="majorBidi" w:hAnsiTheme="majorBidi" w:cstheme="majorBidi"/>
          <w:sz w:val="24"/>
          <w:szCs w:val="24"/>
        </w:rPr>
        <w:t xml:space="preserve"> zawarty w jednym z załączników do </w:t>
      </w:r>
      <w:r w:rsidR="001876CA" w:rsidRPr="001876CA">
        <w:rPr>
          <w:rFonts w:asciiTheme="majorBidi" w:hAnsiTheme="majorBidi" w:cstheme="majorBidi"/>
          <w:i/>
          <w:sz w:val="24"/>
          <w:szCs w:val="24"/>
        </w:rPr>
        <w:t>Europejskiego Aktu</w:t>
      </w:r>
      <w:r w:rsidR="001876CA">
        <w:t xml:space="preserve"> </w:t>
      </w:r>
      <w:r w:rsidR="00D62964" w:rsidRPr="00D62964">
        <w:rPr>
          <w:i/>
        </w:rPr>
        <w:t>o</w:t>
      </w:r>
      <w:r w:rsidR="00D62964">
        <w:t xml:space="preserve"> </w:t>
      </w:r>
      <w:r w:rsidR="001876CA">
        <w:rPr>
          <w:rFonts w:ascii="Times New Roman" w:hAnsi="Times New Roman" w:cs="Times New Roman"/>
          <w:i/>
          <w:sz w:val="24"/>
          <w:szCs w:val="24"/>
        </w:rPr>
        <w:t>dostę</w:t>
      </w:r>
      <w:r w:rsidR="001876CA" w:rsidRPr="001876CA">
        <w:rPr>
          <w:rFonts w:ascii="Times New Roman" w:hAnsi="Times New Roman" w:cs="Times New Roman"/>
          <w:i/>
          <w:sz w:val="24"/>
          <w:szCs w:val="24"/>
        </w:rPr>
        <w:t>pności</w:t>
      </w:r>
      <w:r w:rsidR="001876CA" w:rsidRPr="001876CA">
        <w:rPr>
          <w:rFonts w:ascii="Times New Roman" w:hAnsi="Times New Roman" w:cs="Times New Roman"/>
          <w:sz w:val="24"/>
          <w:szCs w:val="24"/>
        </w:rPr>
        <w:t xml:space="preserve"> mówi ogólnie o tym, że usługi powinny być świadczone </w:t>
      </w:r>
      <w:r w:rsidR="001876CA">
        <w:rPr>
          <w:rFonts w:ascii="Times New Roman" w:hAnsi="Times New Roman" w:cs="Times New Roman"/>
          <w:sz w:val="24"/>
          <w:szCs w:val="24"/>
        </w:rPr>
        <w:t>„</w:t>
      </w:r>
      <w:r w:rsidR="001876CA" w:rsidRPr="001876CA">
        <w:rPr>
          <w:rFonts w:ascii="Times New Roman" w:hAnsi="Times New Roman" w:cs="Times New Roman"/>
          <w:i/>
          <w:sz w:val="24"/>
          <w:szCs w:val="24"/>
        </w:rPr>
        <w:t>w taki sposób, aby osoby z ograniczeniami funkcjonalnymi, w tym osoby niepełnosprawne, mogły z nich jak najlepiej korzystać. W tym celu należy uwzględnić m.in. zapewnienie informacji, alternatywy dla treści nietekstowych, dostępność strony internetowej w sposób spójny i adekwatny do percepcji, obsługi i zrozumienia przez użytkowników</w:t>
      </w:r>
      <w:r w:rsidR="001876CA">
        <w:rPr>
          <w:rFonts w:ascii="Times New Roman" w:hAnsi="Times New Roman" w:cs="Times New Roman"/>
          <w:i/>
          <w:sz w:val="24"/>
          <w:szCs w:val="24"/>
        </w:rPr>
        <w:t>”</w:t>
      </w:r>
      <w:r w:rsidR="001876CA" w:rsidRPr="001876CA">
        <w:rPr>
          <w:rFonts w:ascii="Times New Roman" w:hAnsi="Times New Roman" w:cs="Times New Roman"/>
          <w:sz w:val="24"/>
          <w:szCs w:val="24"/>
        </w:rPr>
        <w:t xml:space="preserve">. </w:t>
      </w:r>
      <w:r w:rsidR="00B94E0E">
        <w:rPr>
          <w:rFonts w:ascii="Times New Roman" w:hAnsi="Times New Roman" w:cs="Times New Roman"/>
          <w:sz w:val="24"/>
          <w:szCs w:val="24"/>
        </w:rPr>
        <w:t xml:space="preserve">Takie nieprecyzyjne sformułowanie może spowodować odejście </w:t>
      </w:r>
      <w:r w:rsidR="00D62964">
        <w:rPr>
          <w:rFonts w:ascii="Times New Roman" w:hAnsi="Times New Roman" w:cs="Times New Roman"/>
          <w:sz w:val="24"/>
          <w:szCs w:val="24"/>
        </w:rPr>
        <w:t xml:space="preserve">od wypracowanego z trudem kompromisu między nadawcami a środowiskami osób z dysfunkcją wzroku i słuchu dotyczącego stosowania udogodnień dla tej grupy odbiorców, tym bardziej, że </w:t>
      </w:r>
      <w:r w:rsidR="00D62964">
        <w:rPr>
          <w:rFonts w:asciiTheme="majorBidi" w:hAnsiTheme="majorBidi" w:cstheme="majorBidi"/>
          <w:sz w:val="24"/>
          <w:szCs w:val="24"/>
        </w:rPr>
        <w:t>w Polsce ich ilość w audiowizualnych usługach medialnych jest niezadawalająca.</w:t>
      </w:r>
    </w:p>
    <w:p w:rsidR="001212FD" w:rsidRDefault="00733D86" w:rsidP="008F31F3">
      <w:pPr>
        <w:spacing w:after="120"/>
        <w:jc w:val="both"/>
        <w:rPr>
          <w:rFonts w:asciiTheme="majorBidi" w:hAnsiTheme="majorBidi" w:cstheme="majorBidi"/>
          <w:sz w:val="24"/>
          <w:szCs w:val="24"/>
        </w:rPr>
      </w:pPr>
      <w:r>
        <w:rPr>
          <w:rFonts w:asciiTheme="majorBidi" w:hAnsiTheme="majorBidi" w:cstheme="majorBidi"/>
          <w:sz w:val="24"/>
          <w:szCs w:val="24"/>
        </w:rPr>
        <w:t xml:space="preserve">Krajowa Rada Radiofonii i Telewizji uważa, </w:t>
      </w:r>
      <w:r w:rsidR="00D62964">
        <w:rPr>
          <w:rFonts w:asciiTheme="majorBidi" w:hAnsiTheme="majorBidi" w:cstheme="majorBidi"/>
          <w:sz w:val="24"/>
          <w:szCs w:val="24"/>
        </w:rPr>
        <w:t>że</w:t>
      </w:r>
      <w:r w:rsidR="00486DA5">
        <w:rPr>
          <w:rFonts w:asciiTheme="majorBidi" w:hAnsiTheme="majorBidi" w:cstheme="majorBidi"/>
          <w:sz w:val="24"/>
          <w:szCs w:val="24"/>
        </w:rPr>
        <w:t xml:space="preserve"> biorąc pod uwagę</w:t>
      </w:r>
      <w:r w:rsidR="008F31F3">
        <w:rPr>
          <w:rFonts w:asciiTheme="majorBidi" w:hAnsiTheme="majorBidi" w:cstheme="majorBidi"/>
          <w:sz w:val="24"/>
          <w:szCs w:val="24"/>
        </w:rPr>
        <w:t xml:space="preserve"> fakt</w:t>
      </w:r>
      <w:r w:rsidR="00486DA5">
        <w:rPr>
          <w:rFonts w:asciiTheme="majorBidi" w:hAnsiTheme="majorBidi" w:cstheme="majorBidi"/>
          <w:sz w:val="24"/>
          <w:szCs w:val="24"/>
        </w:rPr>
        <w:t xml:space="preserve">, że </w:t>
      </w:r>
      <w:r w:rsidR="00D62964">
        <w:rPr>
          <w:rFonts w:asciiTheme="majorBidi" w:hAnsiTheme="majorBidi" w:cstheme="majorBidi"/>
          <w:sz w:val="24"/>
          <w:szCs w:val="24"/>
        </w:rPr>
        <w:t xml:space="preserve">sprawa ta nie była przedmiotem dyskusji w ramach prac ERGA a </w:t>
      </w:r>
      <w:r w:rsidR="00D62964" w:rsidRPr="00D62964">
        <w:rPr>
          <w:rFonts w:asciiTheme="majorBidi" w:hAnsiTheme="majorBidi" w:cstheme="majorBidi"/>
          <w:i/>
          <w:sz w:val="24"/>
          <w:szCs w:val="24"/>
        </w:rPr>
        <w:t>Europejski Akt  o dostępności</w:t>
      </w:r>
      <w:r>
        <w:rPr>
          <w:rFonts w:asciiTheme="majorBidi" w:hAnsiTheme="majorBidi" w:cstheme="majorBidi"/>
          <w:sz w:val="24"/>
          <w:szCs w:val="24"/>
        </w:rPr>
        <w:t xml:space="preserve"> </w:t>
      </w:r>
      <w:r w:rsidR="00D62964">
        <w:rPr>
          <w:rFonts w:asciiTheme="majorBidi" w:hAnsiTheme="majorBidi" w:cstheme="majorBidi"/>
          <w:sz w:val="24"/>
          <w:szCs w:val="24"/>
        </w:rPr>
        <w:t xml:space="preserve">nie został przyjęty, </w:t>
      </w:r>
      <w:r w:rsidR="00486DA5">
        <w:rPr>
          <w:rFonts w:asciiTheme="majorBidi" w:hAnsiTheme="majorBidi" w:cstheme="majorBidi"/>
          <w:sz w:val="24"/>
          <w:szCs w:val="24"/>
        </w:rPr>
        <w:t xml:space="preserve">powinno się zachować </w:t>
      </w:r>
      <w:r>
        <w:rPr>
          <w:rFonts w:asciiTheme="majorBidi" w:hAnsiTheme="majorBidi" w:cstheme="majorBidi"/>
          <w:sz w:val="24"/>
          <w:szCs w:val="24"/>
        </w:rPr>
        <w:t>obecny art. 7 Dyrektywy</w:t>
      </w:r>
      <w:r w:rsidR="00486DA5">
        <w:rPr>
          <w:rFonts w:asciiTheme="majorBidi" w:hAnsiTheme="majorBidi" w:cstheme="majorBidi"/>
          <w:sz w:val="24"/>
          <w:szCs w:val="24"/>
        </w:rPr>
        <w:t xml:space="preserve"> o audiowizualnych usługach medialnych, gdyż jest on w </w:t>
      </w:r>
      <w:r>
        <w:rPr>
          <w:rFonts w:asciiTheme="majorBidi" w:hAnsiTheme="majorBidi" w:cstheme="majorBidi"/>
          <w:sz w:val="24"/>
          <w:szCs w:val="24"/>
        </w:rPr>
        <w:t xml:space="preserve">dalszym ciągu </w:t>
      </w:r>
      <w:r w:rsidR="001212FD">
        <w:rPr>
          <w:rFonts w:asciiTheme="majorBidi" w:hAnsiTheme="majorBidi" w:cstheme="majorBidi"/>
          <w:sz w:val="24"/>
          <w:szCs w:val="24"/>
        </w:rPr>
        <w:t>aktualny i pożyteczny.</w:t>
      </w:r>
    </w:p>
    <w:p w:rsidR="001212FD" w:rsidRDefault="001212FD" w:rsidP="001212FD">
      <w:pPr>
        <w:spacing w:after="120"/>
        <w:jc w:val="both"/>
        <w:rPr>
          <w:rFonts w:asciiTheme="majorBidi" w:hAnsiTheme="majorBidi" w:cstheme="majorBidi"/>
          <w:sz w:val="24"/>
          <w:szCs w:val="24"/>
        </w:rPr>
      </w:pPr>
    </w:p>
    <w:p w:rsidR="001212FD" w:rsidRPr="001212FD" w:rsidRDefault="001212FD" w:rsidP="001212FD">
      <w:pPr>
        <w:pStyle w:val="Akapitzlist"/>
        <w:numPr>
          <w:ilvl w:val="0"/>
          <w:numId w:val="1"/>
        </w:numPr>
        <w:spacing w:after="120"/>
        <w:ind w:hanging="578"/>
        <w:rPr>
          <w:rFonts w:asciiTheme="majorBidi" w:hAnsiTheme="majorBidi" w:cstheme="majorBidi"/>
          <w:b/>
          <w:sz w:val="24"/>
          <w:szCs w:val="24"/>
        </w:rPr>
      </w:pPr>
      <w:r w:rsidRPr="001212FD">
        <w:rPr>
          <w:rFonts w:asciiTheme="majorBidi" w:hAnsiTheme="majorBidi" w:cstheme="majorBidi"/>
          <w:b/>
          <w:sz w:val="24"/>
          <w:szCs w:val="24"/>
        </w:rPr>
        <w:lastRenderedPageBreak/>
        <w:t>Edukacja medialna</w:t>
      </w:r>
    </w:p>
    <w:p w:rsidR="001212FD" w:rsidRDefault="00B879C1" w:rsidP="008F31F3">
      <w:pPr>
        <w:jc w:val="both"/>
        <w:rPr>
          <w:rFonts w:ascii="Times New Roman" w:hAnsi="Times New Roman" w:cs="Times New Roman"/>
          <w:sz w:val="24"/>
          <w:szCs w:val="24"/>
        </w:rPr>
      </w:pPr>
      <w:r w:rsidRPr="001212FD">
        <w:rPr>
          <w:rFonts w:ascii="Times New Roman" w:hAnsi="Times New Roman" w:cs="Times New Roman"/>
          <w:sz w:val="24"/>
          <w:szCs w:val="24"/>
        </w:rPr>
        <w:t xml:space="preserve"> </w:t>
      </w:r>
      <w:r w:rsidR="001212FD" w:rsidRPr="001212FD">
        <w:rPr>
          <w:rFonts w:ascii="Times New Roman" w:hAnsi="Times New Roman" w:cs="Times New Roman"/>
          <w:sz w:val="24"/>
          <w:szCs w:val="24"/>
        </w:rPr>
        <w:t>W dotychczas obowiązującej Dyrektywie o audiowizualnych usługach medialnych edukacja medialna  uwzględniona jest w motywie 47 i artykule 33.</w:t>
      </w:r>
    </w:p>
    <w:p w:rsidR="001212FD" w:rsidRPr="001212FD" w:rsidRDefault="001212FD" w:rsidP="008F31F3">
      <w:pPr>
        <w:jc w:val="both"/>
        <w:rPr>
          <w:rFonts w:ascii="Times New Roman" w:hAnsi="Times New Roman" w:cs="Times New Roman"/>
          <w:sz w:val="24"/>
          <w:szCs w:val="24"/>
        </w:rPr>
      </w:pPr>
      <w:r w:rsidRPr="001212FD">
        <w:rPr>
          <w:rFonts w:ascii="Times New Roman" w:hAnsi="Times New Roman" w:cs="Times New Roman"/>
          <w:sz w:val="24"/>
          <w:szCs w:val="24"/>
        </w:rPr>
        <w:t>Zaproponowany w maju 2016 r. projekt nowelizacji DAUM nie zawiera już ww. odniesień do edukacji medialnej, ani nie proponuje nowych</w:t>
      </w:r>
      <w:r>
        <w:rPr>
          <w:rFonts w:ascii="Times New Roman" w:hAnsi="Times New Roman" w:cs="Times New Roman"/>
          <w:sz w:val="24"/>
          <w:szCs w:val="24"/>
        </w:rPr>
        <w:t>, co nie wydaje się dobrym kierunkiem zmian. Edukacja medialna rozumiana jako zdobywanie umiejętności świadomego korzystania z mediów jest niezwykle ważnym uzupełnieniem zarówno ochrony małoletnich przed nieodpowiednimi treściami, jak również zapobiega wykluczeniu cyfrowemu innych grup społecznych, np. seniorów.</w:t>
      </w:r>
    </w:p>
    <w:p w:rsidR="00BE7841" w:rsidRDefault="000865F2" w:rsidP="003E1358">
      <w:pPr>
        <w:pStyle w:val="Akapitzlist"/>
        <w:numPr>
          <w:ilvl w:val="0"/>
          <w:numId w:val="1"/>
        </w:numPr>
        <w:spacing w:after="120"/>
        <w:ind w:hanging="578"/>
        <w:rPr>
          <w:rFonts w:ascii="Times New Roman" w:hAnsi="Times New Roman" w:cs="Times New Roman"/>
          <w:b/>
          <w:sz w:val="24"/>
          <w:szCs w:val="24"/>
        </w:rPr>
      </w:pPr>
      <w:r w:rsidRPr="00D14335">
        <w:rPr>
          <w:rFonts w:ascii="Times New Roman" w:hAnsi="Times New Roman" w:cs="Times New Roman"/>
          <w:b/>
          <w:sz w:val="24"/>
          <w:szCs w:val="24"/>
        </w:rPr>
        <w:t>Uwagi szczegółowe</w:t>
      </w:r>
      <w:r w:rsidR="00C07677">
        <w:rPr>
          <w:rFonts w:ascii="Times New Roman" w:hAnsi="Times New Roman" w:cs="Times New Roman"/>
          <w:b/>
          <w:sz w:val="24"/>
          <w:szCs w:val="24"/>
        </w:rPr>
        <w:t>:</w:t>
      </w:r>
    </w:p>
    <w:p w:rsidR="00705C16" w:rsidRDefault="00705C16" w:rsidP="00705C16">
      <w:pPr>
        <w:pStyle w:val="Akapitzlist"/>
        <w:spacing w:after="120"/>
        <w:rPr>
          <w:rFonts w:ascii="Times New Roman" w:hAnsi="Times New Roman" w:cs="Times New Roman"/>
          <w:b/>
          <w:sz w:val="24"/>
          <w:szCs w:val="24"/>
        </w:rPr>
      </w:pPr>
    </w:p>
    <w:p w:rsidR="00C329F8" w:rsidRPr="00C329F8"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C329F8">
        <w:rPr>
          <w:rFonts w:ascii="Times New Roman" w:hAnsi="Times New Roman" w:cs="Times New Roman"/>
          <w:sz w:val="24"/>
          <w:szCs w:val="24"/>
        </w:rPr>
        <w:t>art. 1</w:t>
      </w:r>
      <w:r w:rsidRPr="00C329F8">
        <w:rPr>
          <w:rFonts w:ascii="Times New Roman" w:hAnsi="Times New Roman" w:cs="Times New Roman"/>
          <w:noProof/>
          <w:sz w:val="24"/>
          <w:szCs w:val="24"/>
          <w:lang w:bidi="pl-PL"/>
        </w:rPr>
        <w:t xml:space="preserve"> </w:t>
      </w:r>
      <w:r w:rsidRPr="00C329F8">
        <w:rPr>
          <w:rFonts w:ascii="Times New Roman" w:hAnsi="Times New Roman" w:cs="Times New Roman"/>
          <w:sz w:val="24"/>
          <w:szCs w:val="24"/>
          <w:lang w:bidi="pl-PL"/>
        </w:rPr>
        <w:t xml:space="preserve">lit. a) </w:t>
      </w:r>
      <w:proofErr w:type="spellStart"/>
      <w:r w:rsidRPr="00C329F8">
        <w:rPr>
          <w:rFonts w:ascii="Times New Roman" w:hAnsi="Times New Roman" w:cs="Times New Roman"/>
          <w:sz w:val="24"/>
          <w:szCs w:val="24"/>
          <w:lang w:bidi="pl-PL"/>
        </w:rPr>
        <w:t>ppkt</w:t>
      </w:r>
      <w:proofErr w:type="spellEnd"/>
      <w:r w:rsidRPr="00C329F8">
        <w:rPr>
          <w:rFonts w:ascii="Times New Roman" w:hAnsi="Times New Roman" w:cs="Times New Roman"/>
          <w:sz w:val="24"/>
          <w:szCs w:val="24"/>
          <w:lang w:bidi="pl-PL"/>
        </w:rPr>
        <w:t xml:space="preserve"> (i) – czy użycie przez projektodawcę sformułowania „</w:t>
      </w:r>
      <w:r w:rsidRPr="009418BD">
        <w:rPr>
          <w:rFonts w:ascii="Times New Roman" w:hAnsi="Times New Roman" w:cs="Times New Roman"/>
          <w:i/>
          <w:sz w:val="24"/>
          <w:szCs w:val="24"/>
          <w:lang w:bidi="pl-PL"/>
        </w:rPr>
        <w:t>lub jej dającej się oddzielić części”</w:t>
      </w:r>
      <w:r w:rsidRPr="00C329F8">
        <w:rPr>
          <w:rFonts w:ascii="Times New Roman" w:hAnsi="Times New Roman" w:cs="Times New Roman"/>
          <w:sz w:val="24"/>
          <w:szCs w:val="24"/>
          <w:lang w:bidi="pl-PL"/>
        </w:rPr>
        <w:t xml:space="preserve"> należy interpretować w ten sposób, że w wypadku usługi, w której podstawowym celem dającej się oddzielić części usługi jest dostarczanie ogółowi odbiorców audycji, za np. audiowizualną usługę medialną na żądanie należy uznać całą usługę, a nie wyodrębnioną jej część? W tym względzie warto wskazać, że w wyroku TSUE z dnia</w:t>
      </w:r>
      <w:r w:rsidRPr="00C329F8">
        <w:rPr>
          <w:rFonts w:ascii="Times New Roman" w:hAnsi="Times New Roman" w:cs="Times New Roman"/>
          <w:sz w:val="24"/>
          <w:szCs w:val="24"/>
        </w:rPr>
        <w:t xml:space="preserve"> </w:t>
      </w:r>
      <w:r w:rsidRPr="00C329F8">
        <w:rPr>
          <w:rFonts w:ascii="Times New Roman" w:hAnsi="Times New Roman" w:cs="Times New Roman"/>
          <w:sz w:val="24"/>
          <w:szCs w:val="24"/>
          <w:lang w:bidi="pl-PL"/>
        </w:rPr>
        <w:t xml:space="preserve">z dnia 21 października 2015 r., </w:t>
      </w:r>
      <w:r w:rsidRPr="00C329F8">
        <w:rPr>
          <w:rFonts w:ascii="Times New Roman" w:hAnsi="Times New Roman" w:cs="Times New Roman"/>
          <w:bCs/>
          <w:sz w:val="24"/>
          <w:szCs w:val="24"/>
          <w:lang w:bidi="pl-PL"/>
        </w:rPr>
        <w:t xml:space="preserve">C-347/14 (New Media Online GmbH przeciwko </w:t>
      </w:r>
      <w:proofErr w:type="spellStart"/>
      <w:r w:rsidRPr="00C329F8">
        <w:rPr>
          <w:rFonts w:ascii="Times New Roman" w:hAnsi="Times New Roman" w:cs="Times New Roman"/>
          <w:bCs/>
          <w:sz w:val="24"/>
          <w:szCs w:val="24"/>
          <w:lang w:bidi="pl-PL"/>
        </w:rPr>
        <w:t>Bundeskommunikationssenat</w:t>
      </w:r>
      <w:proofErr w:type="spellEnd"/>
      <w:r w:rsidRPr="00C329F8">
        <w:rPr>
          <w:rFonts w:ascii="Times New Roman" w:hAnsi="Times New Roman" w:cs="Times New Roman"/>
          <w:bCs/>
          <w:sz w:val="24"/>
          <w:szCs w:val="24"/>
          <w:lang w:bidi="pl-PL"/>
        </w:rPr>
        <w:t>)</w:t>
      </w:r>
      <w:r w:rsidRPr="00C329F8">
        <w:rPr>
          <w:rFonts w:ascii="Times New Roman" w:hAnsi="Times New Roman" w:cs="Times New Roman"/>
          <w:b/>
          <w:bCs/>
          <w:sz w:val="24"/>
          <w:szCs w:val="24"/>
          <w:lang w:bidi="pl-PL"/>
        </w:rPr>
        <w:t xml:space="preserve"> </w:t>
      </w:r>
      <w:r w:rsidRPr="00C329F8">
        <w:rPr>
          <w:rFonts w:ascii="Times New Roman" w:hAnsi="Times New Roman" w:cs="Times New Roman"/>
          <w:sz w:val="24"/>
          <w:szCs w:val="24"/>
          <w:lang w:bidi="pl-PL"/>
        </w:rPr>
        <w:t xml:space="preserve">wskazano, że </w:t>
      </w:r>
      <w:r w:rsidRPr="00C329F8">
        <w:rPr>
          <w:rFonts w:ascii="Times New Roman" w:hAnsi="Times New Roman" w:cs="Times New Roman"/>
          <w:i/>
          <w:sz w:val="24"/>
          <w:szCs w:val="24"/>
          <w:lang w:bidi="pl-PL"/>
        </w:rPr>
        <w:t>„Dział wideo, który w ramach jednej witryny internetowej spełniałby warunki uznania go za audiowizualną usługę na żądanie, nie traci tej cechy z tego tylko powodu, że jest dostępny poprzez witrynę internetową gazety lub że jest oferowany w ramach tejże.”</w:t>
      </w:r>
      <w:r w:rsidRPr="00C329F8">
        <w:rPr>
          <w:rFonts w:ascii="Times New Roman" w:hAnsi="Times New Roman" w:cs="Times New Roman"/>
          <w:sz w:val="24"/>
          <w:szCs w:val="24"/>
          <w:lang w:bidi="pl-PL"/>
        </w:rPr>
        <w:t xml:space="preserve"> Uznać zatem należy, że w świetle dyrektywy w obowiązującym obecnie brzmieniu, w wypadku gdy dająca się oddzielić część usługi spełniała przesłanki audiowizualnej usługi medialnej na żądanie</w:t>
      </w:r>
      <w:r w:rsidR="0067443B">
        <w:rPr>
          <w:rFonts w:ascii="Times New Roman" w:hAnsi="Times New Roman" w:cs="Times New Roman"/>
          <w:sz w:val="24"/>
          <w:szCs w:val="24"/>
          <w:lang w:bidi="pl-PL"/>
        </w:rPr>
        <w:t>,</w:t>
      </w:r>
      <w:r w:rsidRPr="00C329F8">
        <w:rPr>
          <w:rFonts w:ascii="Times New Roman" w:hAnsi="Times New Roman" w:cs="Times New Roman"/>
          <w:sz w:val="24"/>
          <w:szCs w:val="24"/>
          <w:lang w:bidi="pl-PL"/>
        </w:rPr>
        <w:t xml:space="preserve"> to właśnie taką część należało zakwalifikować jako usługę, o której mowa w art. 1 lit. g dyrektywy o usługach medialnych. Wydaje się, że projektowane brzmienie definicji usługi medialnej spowodować może zmianę w sposobie kwalifikowania tego rodzaju usług. Ponadto niejasne jest</w:t>
      </w:r>
      <w:r w:rsidR="00B04939">
        <w:rPr>
          <w:rFonts w:ascii="Times New Roman" w:hAnsi="Times New Roman" w:cs="Times New Roman"/>
          <w:sz w:val="24"/>
          <w:szCs w:val="24"/>
          <w:lang w:bidi="pl-PL"/>
        </w:rPr>
        <w:t>,</w:t>
      </w:r>
      <w:r w:rsidRPr="00C329F8">
        <w:rPr>
          <w:rFonts w:ascii="Times New Roman" w:hAnsi="Times New Roman" w:cs="Times New Roman"/>
          <w:sz w:val="24"/>
          <w:szCs w:val="24"/>
          <w:lang w:bidi="pl-PL"/>
        </w:rPr>
        <w:t xml:space="preserve"> jak należy rozumieć przedmiotowe sformułowanie w przypadku drugiego rodzaju audiowizualnej usługi medialnej jaką jest program;</w:t>
      </w:r>
    </w:p>
    <w:p w:rsidR="00C329F8" w:rsidRPr="00C329F8"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C329F8">
        <w:rPr>
          <w:rFonts w:ascii="Times New Roman" w:hAnsi="Times New Roman" w:cs="Times New Roman"/>
          <w:sz w:val="24"/>
          <w:szCs w:val="24"/>
          <w:lang w:bidi="pl-PL"/>
        </w:rPr>
        <w:t xml:space="preserve">art. 1 lit. aa) </w:t>
      </w:r>
      <w:proofErr w:type="spellStart"/>
      <w:r w:rsidRPr="00C329F8">
        <w:rPr>
          <w:rFonts w:ascii="Times New Roman" w:hAnsi="Times New Roman" w:cs="Times New Roman"/>
          <w:sz w:val="24"/>
          <w:szCs w:val="24"/>
          <w:lang w:bidi="pl-PL"/>
        </w:rPr>
        <w:t>ppkt</w:t>
      </w:r>
      <w:proofErr w:type="spellEnd"/>
      <w:r w:rsidRPr="00C329F8">
        <w:rPr>
          <w:rFonts w:ascii="Times New Roman" w:hAnsi="Times New Roman" w:cs="Times New Roman"/>
          <w:sz w:val="24"/>
          <w:szCs w:val="24"/>
          <w:lang w:bidi="pl-PL"/>
        </w:rPr>
        <w:t xml:space="preserve"> (i)</w:t>
      </w:r>
      <w:r w:rsidRPr="00C329F8">
        <w:rPr>
          <w:rFonts w:ascii="Times New Roman" w:hAnsi="Times New Roman" w:cs="Times New Roman"/>
          <w:b/>
          <w:sz w:val="24"/>
          <w:szCs w:val="24"/>
          <w:lang w:bidi="pl-PL"/>
        </w:rPr>
        <w:t xml:space="preserve"> </w:t>
      </w:r>
      <w:r w:rsidRPr="00C329F8">
        <w:rPr>
          <w:rFonts w:ascii="Times New Roman" w:hAnsi="Times New Roman" w:cs="Times New Roman"/>
          <w:sz w:val="24"/>
          <w:szCs w:val="24"/>
          <w:lang w:bidi="pl-PL"/>
        </w:rPr>
        <w:t xml:space="preserve">– projektodawca posługuje się mało precyzyjnymi pojęciami, których interpretacja może być utrudniona zarówno przy wdrażaniu dyrektywy, jak i w procesie stosowania właściwych przepisów. I tak np. wątpliwości budzić może pojęcie </w:t>
      </w:r>
      <w:r w:rsidRPr="009418BD">
        <w:rPr>
          <w:rFonts w:ascii="Times New Roman" w:hAnsi="Times New Roman" w:cs="Times New Roman"/>
          <w:i/>
          <w:sz w:val="24"/>
          <w:szCs w:val="24"/>
          <w:lang w:bidi="pl-PL"/>
        </w:rPr>
        <w:t>„dużej ilości audycji lub filmów wideo”;</w:t>
      </w:r>
    </w:p>
    <w:p w:rsidR="00C329F8" w:rsidRPr="00C329F8" w:rsidRDefault="00C329F8" w:rsidP="003E1358">
      <w:pPr>
        <w:pStyle w:val="Akapitzlist"/>
        <w:spacing w:after="120"/>
        <w:ind w:left="426"/>
        <w:jc w:val="both"/>
        <w:rPr>
          <w:rFonts w:ascii="Times New Roman" w:hAnsi="Times New Roman" w:cs="Times New Roman"/>
          <w:sz w:val="24"/>
          <w:szCs w:val="24"/>
          <w:lang w:bidi="pl-PL"/>
        </w:rPr>
      </w:pPr>
      <w:r w:rsidRPr="00C329F8">
        <w:rPr>
          <w:rFonts w:ascii="Times New Roman" w:hAnsi="Times New Roman" w:cs="Times New Roman"/>
          <w:sz w:val="24"/>
          <w:szCs w:val="24"/>
          <w:lang w:bidi="pl-PL"/>
        </w:rPr>
        <w:t xml:space="preserve">Wątpliwości budzić może również wzajemny stosunek i zakres pojęć </w:t>
      </w:r>
      <w:r w:rsidRPr="009418BD">
        <w:rPr>
          <w:rFonts w:ascii="Times New Roman" w:hAnsi="Times New Roman" w:cs="Times New Roman"/>
          <w:i/>
          <w:sz w:val="24"/>
          <w:szCs w:val="24"/>
          <w:lang w:bidi="pl-PL"/>
        </w:rPr>
        <w:t>„audycja”</w:t>
      </w:r>
      <w:r w:rsidRPr="00C329F8">
        <w:rPr>
          <w:rFonts w:ascii="Times New Roman" w:hAnsi="Times New Roman" w:cs="Times New Roman"/>
          <w:sz w:val="24"/>
          <w:szCs w:val="24"/>
          <w:lang w:bidi="pl-PL"/>
        </w:rPr>
        <w:t xml:space="preserve"> i </w:t>
      </w:r>
      <w:r w:rsidRPr="009418BD">
        <w:rPr>
          <w:rFonts w:ascii="Times New Roman" w:hAnsi="Times New Roman" w:cs="Times New Roman"/>
          <w:i/>
          <w:sz w:val="24"/>
          <w:szCs w:val="24"/>
          <w:lang w:bidi="pl-PL"/>
        </w:rPr>
        <w:t>„film wideo stworzony przez użytkownika”</w:t>
      </w:r>
      <w:r w:rsidRPr="00C329F8">
        <w:rPr>
          <w:rFonts w:ascii="Times New Roman" w:hAnsi="Times New Roman" w:cs="Times New Roman"/>
          <w:sz w:val="24"/>
          <w:szCs w:val="24"/>
          <w:lang w:bidi="pl-PL"/>
        </w:rPr>
        <w:t xml:space="preserve"> (zob. uwagi z punktu 3.).</w:t>
      </w:r>
    </w:p>
    <w:p w:rsidR="00C329F8" w:rsidRPr="009418BD" w:rsidRDefault="00C329F8" w:rsidP="003E1358">
      <w:pPr>
        <w:pStyle w:val="Akapitzlist"/>
        <w:spacing w:after="120"/>
        <w:ind w:left="426"/>
        <w:jc w:val="both"/>
        <w:rPr>
          <w:rFonts w:ascii="Times New Roman" w:hAnsi="Times New Roman" w:cs="Times New Roman"/>
          <w:i/>
          <w:sz w:val="24"/>
          <w:szCs w:val="24"/>
          <w:lang w:bidi="pl-PL"/>
        </w:rPr>
      </w:pPr>
      <w:r w:rsidRPr="00C329F8">
        <w:rPr>
          <w:rFonts w:ascii="Times New Roman" w:hAnsi="Times New Roman" w:cs="Times New Roman"/>
          <w:sz w:val="24"/>
          <w:szCs w:val="24"/>
          <w:lang w:bidi="pl-PL"/>
        </w:rPr>
        <w:t xml:space="preserve">W definicji usługi </w:t>
      </w:r>
      <w:r w:rsidRPr="009418BD">
        <w:rPr>
          <w:rFonts w:ascii="Times New Roman" w:hAnsi="Times New Roman" w:cs="Times New Roman"/>
          <w:i/>
          <w:sz w:val="24"/>
          <w:szCs w:val="24"/>
          <w:lang w:bidi="pl-PL"/>
        </w:rPr>
        <w:t>„platformy udostępniania plików wideo”</w:t>
      </w:r>
      <w:r w:rsidRPr="00C329F8">
        <w:rPr>
          <w:rFonts w:ascii="Times New Roman" w:hAnsi="Times New Roman" w:cs="Times New Roman"/>
          <w:sz w:val="24"/>
          <w:szCs w:val="24"/>
          <w:lang w:bidi="pl-PL"/>
        </w:rPr>
        <w:t xml:space="preserve"> stwierdza się również wyraźnie, że</w:t>
      </w:r>
      <w:r w:rsidRPr="00C329F8">
        <w:rPr>
          <w:rFonts w:ascii="Times New Roman" w:hAnsi="Times New Roman" w:cs="Times New Roman"/>
          <w:noProof/>
          <w:sz w:val="24"/>
          <w:szCs w:val="24"/>
          <w:lang w:bidi="pl-PL"/>
        </w:rPr>
        <w:t xml:space="preserve"> </w:t>
      </w:r>
      <w:r w:rsidRPr="009418BD">
        <w:rPr>
          <w:rFonts w:ascii="Times New Roman" w:hAnsi="Times New Roman" w:cs="Times New Roman"/>
          <w:i/>
          <w:noProof/>
          <w:sz w:val="24"/>
          <w:szCs w:val="24"/>
          <w:lang w:bidi="pl-PL"/>
        </w:rPr>
        <w:t>„</w:t>
      </w:r>
      <w:r w:rsidRPr="009418BD">
        <w:rPr>
          <w:rFonts w:ascii="Times New Roman" w:hAnsi="Times New Roman" w:cs="Times New Roman"/>
          <w:i/>
          <w:sz w:val="24"/>
          <w:szCs w:val="24"/>
          <w:lang w:bidi="pl-PL"/>
        </w:rPr>
        <w:t>dostawca platformy udostępniania plików wideo nie ponosi odpowiedzialności redakcyjnej”</w:t>
      </w:r>
      <w:r w:rsidR="009418BD">
        <w:rPr>
          <w:rFonts w:ascii="Times New Roman" w:hAnsi="Times New Roman" w:cs="Times New Roman"/>
          <w:sz w:val="24"/>
          <w:szCs w:val="24"/>
          <w:lang w:bidi="pl-PL"/>
        </w:rPr>
        <w:t>. Przy czym niektóre z zapisów</w:t>
      </w:r>
      <w:r w:rsidRPr="00C329F8">
        <w:rPr>
          <w:rFonts w:ascii="Times New Roman" w:hAnsi="Times New Roman" w:cs="Times New Roman"/>
          <w:sz w:val="24"/>
          <w:szCs w:val="24"/>
          <w:lang w:bidi="pl-PL"/>
        </w:rPr>
        <w:t xml:space="preserve"> użytych dla określenia czynno</w:t>
      </w:r>
      <w:r w:rsidR="009418BD">
        <w:rPr>
          <w:rFonts w:ascii="Times New Roman" w:hAnsi="Times New Roman" w:cs="Times New Roman"/>
          <w:sz w:val="24"/>
          <w:szCs w:val="24"/>
          <w:lang w:bidi="pl-PL"/>
        </w:rPr>
        <w:t>ści podejmowanych przez dostawcę</w:t>
      </w:r>
      <w:r w:rsidRPr="00C329F8">
        <w:rPr>
          <w:rFonts w:ascii="Times New Roman" w:hAnsi="Times New Roman" w:cs="Times New Roman"/>
          <w:sz w:val="24"/>
          <w:szCs w:val="24"/>
          <w:lang w:bidi="pl-PL"/>
        </w:rPr>
        <w:t xml:space="preserve"> takiej usługi mogą budzić wątpliwości w kontekście definicji odpowiedzialności redakcyjnej – np. </w:t>
      </w:r>
      <w:r w:rsidRPr="009418BD">
        <w:rPr>
          <w:rFonts w:ascii="Times New Roman" w:hAnsi="Times New Roman" w:cs="Times New Roman"/>
          <w:i/>
          <w:sz w:val="24"/>
          <w:szCs w:val="24"/>
          <w:lang w:bidi="pl-PL"/>
        </w:rPr>
        <w:t>„wyświetlanie”</w:t>
      </w:r>
      <w:r w:rsidRPr="00C329F8">
        <w:rPr>
          <w:rFonts w:ascii="Times New Roman" w:hAnsi="Times New Roman" w:cs="Times New Roman"/>
          <w:sz w:val="24"/>
          <w:szCs w:val="24"/>
          <w:lang w:bidi="pl-PL"/>
        </w:rPr>
        <w:t xml:space="preserve"> i </w:t>
      </w:r>
      <w:r w:rsidRPr="009418BD">
        <w:rPr>
          <w:rFonts w:ascii="Times New Roman" w:hAnsi="Times New Roman" w:cs="Times New Roman"/>
          <w:i/>
          <w:sz w:val="24"/>
          <w:szCs w:val="24"/>
          <w:lang w:bidi="pl-PL"/>
        </w:rPr>
        <w:t>„ustalanie kolejności”;</w:t>
      </w:r>
    </w:p>
    <w:p w:rsidR="00C329F8" w:rsidRPr="00271F13" w:rsidRDefault="00C329F8" w:rsidP="003E1358">
      <w:pPr>
        <w:pStyle w:val="Akapitzlist"/>
        <w:numPr>
          <w:ilvl w:val="0"/>
          <w:numId w:val="18"/>
        </w:numPr>
        <w:spacing w:after="120"/>
        <w:ind w:left="426" w:hanging="426"/>
        <w:jc w:val="both"/>
        <w:rPr>
          <w:rFonts w:ascii="Times New Roman" w:hAnsi="Times New Roman" w:cs="Times New Roman"/>
          <w:i/>
          <w:sz w:val="24"/>
          <w:szCs w:val="24"/>
        </w:rPr>
      </w:pPr>
      <w:r w:rsidRPr="00D82A50">
        <w:rPr>
          <w:rFonts w:ascii="Times New Roman" w:hAnsi="Times New Roman" w:cs="Times New Roman"/>
          <w:sz w:val="24"/>
          <w:szCs w:val="24"/>
        </w:rPr>
        <w:lastRenderedPageBreak/>
        <w:t>art. 1</w:t>
      </w:r>
      <w:r w:rsidRPr="00D82A50">
        <w:rPr>
          <w:rFonts w:ascii="Times New Roman" w:hAnsi="Times New Roman" w:cs="Times New Roman"/>
          <w:sz w:val="24"/>
          <w:szCs w:val="24"/>
          <w:lang w:bidi="pl-PL"/>
        </w:rPr>
        <w:t xml:space="preserve"> lit. b) i ba)</w:t>
      </w:r>
      <w:r w:rsidRPr="00C329F8">
        <w:rPr>
          <w:rFonts w:ascii="Times New Roman" w:hAnsi="Times New Roman" w:cs="Times New Roman"/>
          <w:b/>
          <w:sz w:val="24"/>
          <w:szCs w:val="24"/>
          <w:lang w:bidi="pl-PL"/>
        </w:rPr>
        <w:t xml:space="preserve"> – </w:t>
      </w:r>
      <w:r w:rsidRPr="00C329F8">
        <w:rPr>
          <w:rFonts w:ascii="Times New Roman" w:hAnsi="Times New Roman" w:cs="Times New Roman"/>
          <w:sz w:val="24"/>
          <w:szCs w:val="24"/>
          <w:lang w:bidi="pl-PL"/>
        </w:rPr>
        <w:t>niejasny jest wzajemny stosunek obu pojęć zdefiniowanych w tym przepisie.</w:t>
      </w:r>
      <w:r w:rsidRPr="00C329F8">
        <w:rPr>
          <w:rFonts w:ascii="Times New Roman" w:hAnsi="Times New Roman" w:cs="Times New Roman"/>
          <w:noProof/>
          <w:sz w:val="24"/>
          <w:szCs w:val="24"/>
          <w:lang w:bidi="pl-PL"/>
        </w:rPr>
        <w:t xml:space="preserve"> Wydaje się, że zakres tych pojęć w dużej mierze się pokrywa. Stąd też </w:t>
      </w:r>
      <w:r w:rsidR="009418BD" w:rsidRPr="00C329F8">
        <w:rPr>
          <w:rFonts w:ascii="Times New Roman" w:hAnsi="Times New Roman" w:cs="Times New Roman"/>
          <w:noProof/>
          <w:sz w:val="24"/>
          <w:szCs w:val="24"/>
          <w:lang w:bidi="pl-PL"/>
        </w:rPr>
        <w:t xml:space="preserve">wątpliwości </w:t>
      </w:r>
      <w:r w:rsidRPr="00C329F8">
        <w:rPr>
          <w:rFonts w:ascii="Times New Roman" w:hAnsi="Times New Roman" w:cs="Times New Roman"/>
          <w:noProof/>
          <w:sz w:val="24"/>
          <w:szCs w:val="24"/>
          <w:lang w:bidi="pl-PL"/>
        </w:rPr>
        <w:t xml:space="preserve">budzić może cel wprowadzenia pojęcia </w:t>
      </w:r>
      <w:r w:rsidRPr="00271F13">
        <w:rPr>
          <w:rFonts w:ascii="Times New Roman" w:hAnsi="Times New Roman" w:cs="Times New Roman"/>
          <w:i/>
          <w:noProof/>
          <w:sz w:val="24"/>
          <w:szCs w:val="24"/>
          <w:lang w:bidi="pl-PL"/>
        </w:rPr>
        <w:t>„film wideo stworzony przez użytkownika”;</w:t>
      </w:r>
    </w:p>
    <w:p w:rsidR="00C329F8" w:rsidRPr="00C329F8" w:rsidRDefault="00C329F8" w:rsidP="003E1358">
      <w:pPr>
        <w:pStyle w:val="Akapitzlist"/>
        <w:numPr>
          <w:ilvl w:val="0"/>
          <w:numId w:val="18"/>
        </w:numPr>
        <w:spacing w:after="120"/>
        <w:ind w:left="426" w:hanging="426"/>
        <w:jc w:val="both"/>
        <w:rPr>
          <w:rFonts w:ascii="Times New Roman" w:hAnsi="Times New Roman" w:cs="Times New Roman"/>
          <w:sz w:val="24"/>
          <w:szCs w:val="24"/>
        </w:rPr>
      </w:pPr>
      <w:r w:rsidRPr="00D82A50">
        <w:rPr>
          <w:rFonts w:ascii="Times New Roman" w:hAnsi="Times New Roman" w:cs="Times New Roman"/>
          <w:sz w:val="24"/>
          <w:szCs w:val="24"/>
          <w:lang w:bidi="pl-PL"/>
        </w:rPr>
        <w:t>art. 2 ust. 3 lit. b)</w:t>
      </w:r>
      <w:r w:rsidRPr="00C329F8">
        <w:rPr>
          <w:rFonts w:ascii="Times New Roman" w:hAnsi="Times New Roman" w:cs="Times New Roman"/>
          <w:b/>
          <w:sz w:val="24"/>
          <w:szCs w:val="24"/>
          <w:lang w:bidi="pl-PL"/>
        </w:rPr>
        <w:t xml:space="preserve"> </w:t>
      </w:r>
      <w:r w:rsidRPr="00C329F8">
        <w:rPr>
          <w:rFonts w:ascii="Times New Roman" w:hAnsi="Times New Roman" w:cs="Times New Roman"/>
          <w:sz w:val="24"/>
          <w:szCs w:val="24"/>
          <w:lang w:bidi="pl-PL"/>
        </w:rPr>
        <w:t>– czy, mając również na uwadze brzmienie obecnie obowiązujących przepisów, projektowany przepis należy rozumieć tak, że w każdym wypadku, gdy główne biuro dostawcy usług medialnych znajduje się w jednym państwie członkowskim, a decyzje redakcyjne dotyczące audiowizualnej usługi medialnej są podejmowane w innym państwie członkowskim</w:t>
      </w:r>
      <w:r w:rsidRPr="00C329F8">
        <w:rPr>
          <w:rFonts w:ascii="Times New Roman" w:hAnsi="Times New Roman" w:cs="Times New Roman"/>
          <w:noProof/>
          <w:sz w:val="24"/>
          <w:szCs w:val="24"/>
          <w:lang w:bidi="pl-PL"/>
        </w:rPr>
        <w:t xml:space="preserve"> </w:t>
      </w:r>
      <w:r w:rsidRPr="00C329F8">
        <w:rPr>
          <w:rFonts w:ascii="Times New Roman" w:hAnsi="Times New Roman" w:cs="Times New Roman"/>
          <w:sz w:val="24"/>
          <w:szCs w:val="24"/>
          <w:lang w:bidi="pl-PL"/>
        </w:rPr>
        <w:t>uznaje się, że dostawca usług medialnych ma siedzibę w tym państwie członkowskim, w którym działa większość pracowników zaangażowanych w świadczenie audiowizualnej usługi medialnej, tj. nawet gdy jest nim „trzecie” państwo członkowskie, tj. inne niż państwo, w którym znajduje się główne biuro dostawcy i państwo, w którym podejmowane są decyzje redakcyjne dotyczące audiowizualnej usługi medialnej. Ponadto wskazać należy, że nie jest jasne, w jaki sposób i za pomocą jakich środków okoliczności określone w tych przepisach mają być ustalane przez państwa członkowskie (w tym poprzez właściwe organy regulacyjne);</w:t>
      </w:r>
    </w:p>
    <w:p w:rsidR="00C329F8" w:rsidRPr="00C329F8" w:rsidRDefault="00C329F8" w:rsidP="003E1358">
      <w:pPr>
        <w:pStyle w:val="Akapitzlist"/>
        <w:numPr>
          <w:ilvl w:val="0"/>
          <w:numId w:val="18"/>
        </w:numPr>
        <w:spacing w:after="120"/>
        <w:ind w:left="426" w:hanging="426"/>
        <w:jc w:val="both"/>
        <w:rPr>
          <w:rFonts w:ascii="Times New Roman" w:hAnsi="Times New Roman" w:cs="Times New Roman"/>
          <w:sz w:val="24"/>
          <w:szCs w:val="24"/>
        </w:rPr>
      </w:pPr>
      <w:r w:rsidRPr="00D82A50">
        <w:rPr>
          <w:rFonts w:ascii="Times New Roman" w:hAnsi="Times New Roman" w:cs="Times New Roman"/>
          <w:sz w:val="24"/>
          <w:szCs w:val="24"/>
        </w:rPr>
        <w:t>art. 3 ust. 3 lit. a i b</w:t>
      </w:r>
      <w:r w:rsidRPr="00C329F8">
        <w:rPr>
          <w:rFonts w:ascii="Times New Roman" w:hAnsi="Times New Roman" w:cs="Times New Roman"/>
          <w:sz w:val="24"/>
          <w:szCs w:val="24"/>
        </w:rPr>
        <w:t xml:space="preserve"> – wydaj</w:t>
      </w:r>
      <w:r w:rsidR="00271F13">
        <w:rPr>
          <w:rFonts w:ascii="Times New Roman" w:hAnsi="Times New Roman" w:cs="Times New Roman"/>
          <w:sz w:val="24"/>
          <w:szCs w:val="24"/>
        </w:rPr>
        <w:t>e</w:t>
      </w:r>
      <w:r w:rsidRPr="00C329F8">
        <w:rPr>
          <w:rFonts w:ascii="Times New Roman" w:hAnsi="Times New Roman" w:cs="Times New Roman"/>
          <w:sz w:val="24"/>
          <w:szCs w:val="24"/>
        </w:rPr>
        <w:t xml:space="preserve"> się, że doprecyzowania wymaga wskazanie, kiedy państwo członkowskie powiadamia podm</w:t>
      </w:r>
      <w:r w:rsidR="00271F13">
        <w:rPr>
          <w:rFonts w:ascii="Times New Roman" w:hAnsi="Times New Roman" w:cs="Times New Roman"/>
          <w:sz w:val="24"/>
          <w:szCs w:val="24"/>
        </w:rPr>
        <w:t>ioty wymienione we wskazanym</w:t>
      </w:r>
      <w:r w:rsidRPr="00C329F8">
        <w:rPr>
          <w:rFonts w:ascii="Times New Roman" w:hAnsi="Times New Roman" w:cs="Times New Roman"/>
          <w:sz w:val="24"/>
          <w:szCs w:val="24"/>
        </w:rPr>
        <w:t xml:space="preserve"> przepisie</w:t>
      </w:r>
      <w:r w:rsidRPr="00C329F8">
        <w:rPr>
          <w:rFonts w:ascii="Times New Roman" w:hAnsi="Times New Roman" w:cs="Times New Roman"/>
          <w:noProof/>
          <w:sz w:val="24"/>
          <w:szCs w:val="24"/>
          <w:lang w:bidi="pl-PL"/>
        </w:rPr>
        <w:t xml:space="preserve"> </w:t>
      </w:r>
      <w:r w:rsidRPr="00C329F8">
        <w:rPr>
          <w:rFonts w:ascii="Times New Roman" w:hAnsi="Times New Roman" w:cs="Times New Roman"/>
          <w:sz w:val="24"/>
          <w:szCs w:val="24"/>
          <w:lang w:bidi="pl-PL"/>
        </w:rPr>
        <w:t>o domniemanych naruszeniach oraz środkach, jakie zamierza zastosować w przypadku ponownego ich wystąpienia, tj. po pierwszym czy po drugim naruszeniu;</w:t>
      </w:r>
    </w:p>
    <w:p w:rsidR="00C329F8" w:rsidRPr="00271F13" w:rsidRDefault="00C329F8" w:rsidP="003E1358">
      <w:pPr>
        <w:pStyle w:val="Akapitzlist"/>
        <w:numPr>
          <w:ilvl w:val="0"/>
          <w:numId w:val="18"/>
        </w:numPr>
        <w:spacing w:after="120"/>
        <w:ind w:left="426" w:hanging="426"/>
        <w:jc w:val="both"/>
        <w:rPr>
          <w:rFonts w:ascii="Times New Roman" w:hAnsi="Times New Roman" w:cs="Times New Roman"/>
          <w:i/>
          <w:sz w:val="24"/>
          <w:szCs w:val="24"/>
          <w:lang w:bidi="pl-PL"/>
        </w:rPr>
      </w:pPr>
      <w:r w:rsidRPr="00D82A50">
        <w:rPr>
          <w:rFonts w:ascii="Times New Roman" w:hAnsi="Times New Roman" w:cs="Times New Roman"/>
          <w:sz w:val="24"/>
          <w:szCs w:val="24"/>
        </w:rPr>
        <w:t>art. 3 ust. 3 lit. e</w:t>
      </w:r>
      <w:r w:rsidRPr="00C329F8">
        <w:rPr>
          <w:rFonts w:ascii="Times New Roman" w:hAnsi="Times New Roman" w:cs="Times New Roman"/>
          <w:b/>
          <w:sz w:val="24"/>
          <w:szCs w:val="24"/>
        </w:rPr>
        <w:t xml:space="preserve"> </w:t>
      </w:r>
      <w:r w:rsidRPr="00C329F8">
        <w:rPr>
          <w:rFonts w:ascii="Times New Roman" w:hAnsi="Times New Roman" w:cs="Times New Roman"/>
          <w:sz w:val="24"/>
          <w:szCs w:val="24"/>
        </w:rPr>
        <w:t xml:space="preserve">– nie jest jasne, jak należy rozumieć sformułowanie </w:t>
      </w:r>
      <w:r w:rsidRPr="00271F13">
        <w:rPr>
          <w:rFonts w:ascii="Times New Roman" w:hAnsi="Times New Roman" w:cs="Times New Roman"/>
          <w:i/>
          <w:sz w:val="24"/>
          <w:szCs w:val="24"/>
        </w:rPr>
        <w:t>„</w:t>
      </w:r>
      <w:r w:rsidRPr="00271F13">
        <w:rPr>
          <w:rFonts w:ascii="Times New Roman" w:hAnsi="Times New Roman" w:cs="Times New Roman"/>
          <w:i/>
          <w:sz w:val="24"/>
          <w:szCs w:val="24"/>
          <w:lang w:bidi="pl-PL"/>
        </w:rPr>
        <w:t>należycie uwzględnić to stanowisko”.</w:t>
      </w:r>
      <w:r w:rsidRPr="00C329F8">
        <w:rPr>
          <w:rFonts w:ascii="Times New Roman" w:hAnsi="Times New Roman" w:cs="Times New Roman"/>
          <w:sz w:val="24"/>
          <w:szCs w:val="24"/>
          <w:lang w:bidi="pl-PL"/>
        </w:rPr>
        <w:t xml:space="preserve"> Ponadto z przepisu nie wynika, kiedy można zastosować przedmiotową procedurę w wypadku dostawców audiowizualnej usługi medialnej na żądanie – z uwagi na zdanie </w:t>
      </w:r>
      <w:r w:rsidRPr="00271F13">
        <w:rPr>
          <w:rFonts w:ascii="Times New Roman" w:hAnsi="Times New Roman" w:cs="Times New Roman"/>
          <w:i/>
          <w:sz w:val="24"/>
          <w:szCs w:val="24"/>
          <w:lang w:bidi="pl-PL"/>
        </w:rPr>
        <w:t xml:space="preserve">„Ustęp 3 lit. a) i d) stosuje się wyłącznie w odniesieniu do usług linearnych.” </w:t>
      </w:r>
    </w:p>
    <w:p w:rsidR="00C329F8" w:rsidRPr="00C329F8" w:rsidRDefault="00C329F8" w:rsidP="003E1358">
      <w:pPr>
        <w:pStyle w:val="Akapitzlist"/>
        <w:numPr>
          <w:ilvl w:val="0"/>
          <w:numId w:val="18"/>
        </w:numPr>
        <w:spacing w:after="120"/>
        <w:ind w:left="426" w:hanging="426"/>
        <w:jc w:val="both"/>
        <w:rPr>
          <w:rFonts w:ascii="Times New Roman" w:hAnsi="Times New Roman" w:cs="Times New Roman"/>
          <w:sz w:val="24"/>
          <w:szCs w:val="24"/>
        </w:rPr>
      </w:pPr>
      <w:r w:rsidRPr="00D82A50">
        <w:rPr>
          <w:rFonts w:ascii="Times New Roman" w:hAnsi="Times New Roman" w:cs="Times New Roman"/>
          <w:sz w:val="24"/>
          <w:szCs w:val="24"/>
        </w:rPr>
        <w:t>art. 3 ust. 6 –</w:t>
      </w:r>
      <w:r w:rsidRPr="00C329F8">
        <w:rPr>
          <w:rFonts w:ascii="Times New Roman" w:hAnsi="Times New Roman" w:cs="Times New Roman"/>
          <w:sz w:val="24"/>
          <w:szCs w:val="24"/>
        </w:rPr>
        <w:t xml:space="preserve"> przepis stanowi, że </w:t>
      </w:r>
      <w:r w:rsidRPr="00C329F8">
        <w:rPr>
          <w:rFonts w:ascii="Times New Roman" w:hAnsi="Times New Roman" w:cs="Times New Roman"/>
          <w:sz w:val="24"/>
          <w:szCs w:val="24"/>
          <w:lang w:bidi="pl-PL"/>
        </w:rPr>
        <w:t>w sprawach niecierpiących zwłoki państwa członkowskie mogą odstąpić od warunków określonych w ust. 3 lit. b) i c). Wskazać należy, że warunek określony w lit. d, a który nie został w takim wypadku wyłączony, uzależniony jest od spełnienia warunku z lit. b);</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rPr>
      </w:pPr>
      <w:r w:rsidRPr="00D82A50">
        <w:rPr>
          <w:rFonts w:ascii="Times New Roman" w:hAnsi="Times New Roman" w:cs="Times New Roman"/>
          <w:sz w:val="24"/>
          <w:szCs w:val="24"/>
        </w:rPr>
        <w:t>art. 4 – niejasny jest cel włączenia do przedmiotowej regulacji projektowanego art. 30a;</w:t>
      </w:r>
    </w:p>
    <w:p w:rsidR="00C329F8" w:rsidRPr="00C329F8" w:rsidRDefault="00C329F8" w:rsidP="003E1358">
      <w:pPr>
        <w:pStyle w:val="Akapitzlist"/>
        <w:numPr>
          <w:ilvl w:val="0"/>
          <w:numId w:val="18"/>
        </w:numPr>
        <w:spacing w:after="120"/>
        <w:ind w:left="426" w:hanging="426"/>
        <w:jc w:val="both"/>
        <w:rPr>
          <w:rFonts w:ascii="Times New Roman" w:hAnsi="Times New Roman" w:cs="Times New Roman"/>
          <w:sz w:val="24"/>
          <w:szCs w:val="24"/>
        </w:rPr>
      </w:pPr>
      <w:r w:rsidRPr="00D82A50">
        <w:rPr>
          <w:rFonts w:ascii="Times New Roman" w:hAnsi="Times New Roman" w:cs="Times New Roman"/>
          <w:sz w:val="24"/>
          <w:szCs w:val="24"/>
          <w:lang w:bidi="pl-PL"/>
        </w:rPr>
        <w:t>art. 9 ust. 2</w:t>
      </w:r>
      <w:r w:rsidRPr="00C329F8">
        <w:rPr>
          <w:rFonts w:ascii="Times New Roman" w:hAnsi="Times New Roman" w:cs="Times New Roman"/>
          <w:sz w:val="24"/>
          <w:szCs w:val="24"/>
          <w:lang w:bidi="pl-PL"/>
        </w:rPr>
        <w:t xml:space="preserve"> – wydaje się, że ustalenie zakresu pojęcia </w:t>
      </w:r>
      <w:r w:rsidRPr="00271F13">
        <w:rPr>
          <w:rFonts w:ascii="Times New Roman" w:hAnsi="Times New Roman" w:cs="Times New Roman"/>
          <w:i/>
          <w:sz w:val="24"/>
          <w:szCs w:val="24"/>
          <w:lang w:bidi="pl-PL"/>
        </w:rPr>
        <w:t>„audycji, których znaczną część widzów stanowią dzieci”</w:t>
      </w:r>
      <w:r w:rsidRPr="00C329F8">
        <w:rPr>
          <w:rFonts w:ascii="Times New Roman" w:hAnsi="Times New Roman" w:cs="Times New Roman"/>
          <w:sz w:val="24"/>
          <w:szCs w:val="24"/>
          <w:lang w:bidi="pl-PL"/>
        </w:rPr>
        <w:t xml:space="preserve"> może budzić w praktyce poważne wątpliwości i trudności, z uwagi m.in. na brak mechanizmów, które pozwalałyby ocenić wskazaną w tym sformułowaniu okoliczność </w:t>
      </w:r>
      <w:r w:rsidRPr="00C329F8">
        <w:rPr>
          <w:rFonts w:ascii="Times New Roman" w:hAnsi="Times New Roman" w:cs="Times New Roman"/>
          <w:i/>
          <w:sz w:val="24"/>
          <w:szCs w:val="24"/>
          <w:lang w:bidi="pl-PL"/>
        </w:rPr>
        <w:t xml:space="preserve">ex </w:t>
      </w:r>
      <w:proofErr w:type="spellStart"/>
      <w:r w:rsidRPr="00C329F8">
        <w:rPr>
          <w:rFonts w:ascii="Times New Roman" w:hAnsi="Times New Roman" w:cs="Times New Roman"/>
          <w:i/>
          <w:sz w:val="24"/>
          <w:szCs w:val="24"/>
          <w:lang w:bidi="pl-PL"/>
        </w:rPr>
        <w:t>ante</w:t>
      </w:r>
      <w:proofErr w:type="spellEnd"/>
      <w:r w:rsidRPr="00C329F8">
        <w:rPr>
          <w:rFonts w:ascii="Times New Roman" w:hAnsi="Times New Roman" w:cs="Times New Roman"/>
          <w:sz w:val="24"/>
          <w:szCs w:val="24"/>
          <w:lang w:bidi="pl-PL"/>
        </w:rPr>
        <w:t>;</w:t>
      </w:r>
    </w:p>
    <w:p w:rsidR="00C329F8" w:rsidRPr="00271F13" w:rsidRDefault="00C329F8" w:rsidP="003E1358">
      <w:pPr>
        <w:pStyle w:val="Akapitzlist"/>
        <w:spacing w:after="120"/>
        <w:ind w:left="426"/>
        <w:jc w:val="both"/>
        <w:rPr>
          <w:rFonts w:ascii="Times New Roman" w:hAnsi="Times New Roman" w:cs="Times New Roman"/>
          <w:i/>
          <w:sz w:val="24"/>
          <w:szCs w:val="24"/>
          <w:lang w:bidi="pl-PL"/>
        </w:rPr>
      </w:pPr>
      <w:r w:rsidRPr="00C329F8">
        <w:rPr>
          <w:rFonts w:ascii="Times New Roman" w:hAnsi="Times New Roman" w:cs="Times New Roman"/>
          <w:sz w:val="24"/>
          <w:szCs w:val="24"/>
          <w:lang w:bidi="pl-PL"/>
        </w:rPr>
        <w:t xml:space="preserve">Za niejasny i nieprawidłowy, z uwagi na sposób definiowania poszczególnych przekazów handlowych, wydaje się również użycie w polskiej wersji językowej dyrektywy sformułowania </w:t>
      </w:r>
      <w:r w:rsidRPr="00271F13">
        <w:rPr>
          <w:rFonts w:ascii="Times New Roman" w:hAnsi="Times New Roman" w:cs="Times New Roman"/>
          <w:i/>
          <w:sz w:val="24"/>
          <w:szCs w:val="24"/>
          <w:lang w:bidi="pl-PL"/>
        </w:rPr>
        <w:t>„i stanowiących reklamę”;</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11 ust. 2 – wątpliwości może budzić wzajemny stosunek pojęć </w:t>
      </w:r>
      <w:r w:rsidRPr="00271F13">
        <w:rPr>
          <w:rFonts w:ascii="Times New Roman" w:hAnsi="Times New Roman" w:cs="Times New Roman"/>
          <w:i/>
          <w:sz w:val="24"/>
          <w:szCs w:val="24"/>
          <w:lang w:bidi="pl-PL"/>
        </w:rPr>
        <w:t xml:space="preserve">„audycji informacyjnych” </w:t>
      </w:r>
      <w:r w:rsidRPr="00271F13">
        <w:rPr>
          <w:rFonts w:ascii="Times New Roman" w:hAnsi="Times New Roman" w:cs="Times New Roman"/>
          <w:sz w:val="24"/>
          <w:szCs w:val="24"/>
          <w:lang w:bidi="pl-PL"/>
        </w:rPr>
        <w:t>i</w:t>
      </w:r>
      <w:r w:rsidRPr="00271F13">
        <w:rPr>
          <w:rFonts w:ascii="Times New Roman" w:hAnsi="Times New Roman" w:cs="Times New Roman"/>
          <w:i/>
          <w:sz w:val="24"/>
          <w:szCs w:val="24"/>
          <w:lang w:bidi="pl-PL"/>
        </w:rPr>
        <w:t xml:space="preserve"> „audycji dotyczących bieżących wydarzeń”</w:t>
      </w:r>
      <w:r w:rsidRPr="00D82A50">
        <w:rPr>
          <w:rFonts w:ascii="Times New Roman" w:hAnsi="Times New Roman" w:cs="Times New Roman"/>
          <w:sz w:val="24"/>
          <w:szCs w:val="24"/>
          <w:lang w:bidi="pl-PL"/>
        </w:rPr>
        <w:t xml:space="preserve">. Co do pojęcia </w:t>
      </w:r>
      <w:r w:rsidRPr="00271F13">
        <w:rPr>
          <w:rFonts w:ascii="Times New Roman" w:hAnsi="Times New Roman" w:cs="Times New Roman"/>
          <w:i/>
          <w:sz w:val="24"/>
          <w:szCs w:val="24"/>
          <w:lang w:bidi="pl-PL"/>
        </w:rPr>
        <w:t>„audycji, których znaczną część widzó</w:t>
      </w:r>
      <w:r w:rsidR="00271F13" w:rsidRPr="00271F13">
        <w:rPr>
          <w:rFonts w:ascii="Times New Roman" w:hAnsi="Times New Roman" w:cs="Times New Roman"/>
          <w:i/>
          <w:sz w:val="24"/>
          <w:szCs w:val="24"/>
          <w:lang w:bidi="pl-PL"/>
        </w:rPr>
        <w:t>w stanowią dzieci”</w:t>
      </w:r>
      <w:r w:rsidR="00271F13">
        <w:rPr>
          <w:rFonts w:ascii="Times New Roman" w:hAnsi="Times New Roman" w:cs="Times New Roman"/>
          <w:sz w:val="24"/>
          <w:szCs w:val="24"/>
          <w:lang w:bidi="pl-PL"/>
        </w:rPr>
        <w:t xml:space="preserve"> – zob. pkt 9</w:t>
      </w:r>
      <w:r w:rsidRPr="00D82A50">
        <w:rPr>
          <w:rFonts w:ascii="Times New Roman" w:hAnsi="Times New Roman" w:cs="Times New Roman"/>
          <w:sz w:val="24"/>
          <w:szCs w:val="24"/>
          <w:lang w:bidi="pl-PL"/>
        </w:rPr>
        <w:t>;</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11 ust. 3 lit a) – czy włączenie do treści przepisu sformułowania </w:t>
      </w:r>
      <w:r w:rsidRPr="00271F13">
        <w:rPr>
          <w:rFonts w:ascii="Times New Roman" w:hAnsi="Times New Roman" w:cs="Times New Roman"/>
          <w:i/>
          <w:sz w:val="24"/>
          <w:szCs w:val="24"/>
          <w:lang w:bidi="pl-PL"/>
        </w:rPr>
        <w:t>„a w przypadku rozpowszechniania telewizyjnego także ich miejsce w układzie audycji”</w:t>
      </w:r>
      <w:r w:rsidR="00271F13">
        <w:rPr>
          <w:rFonts w:ascii="Times New Roman" w:hAnsi="Times New Roman" w:cs="Times New Roman"/>
          <w:i/>
          <w:sz w:val="24"/>
          <w:szCs w:val="24"/>
          <w:lang w:bidi="pl-PL"/>
        </w:rPr>
        <w:t>,</w:t>
      </w:r>
      <w:r w:rsidRPr="00D82A50">
        <w:rPr>
          <w:rFonts w:ascii="Times New Roman" w:hAnsi="Times New Roman" w:cs="Times New Roman"/>
          <w:sz w:val="24"/>
          <w:szCs w:val="24"/>
          <w:lang w:bidi="pl-PL"/>
        </w:rPr>
        <w:t xml:space="preserve"> należy interpretować tak, że sposób umiejscowienia audycji w katalogu audiowizualnej usługi </w:t>
      </w:r>
      <w:r w:rsidRPr="00D82A50">
        <w:rPr>
          <w:rFonts w:ascii="Times New Roman" w:hAnsi="Times New Roman" w:cs="Times New Roman"/>
          <w:sz w:val="24"/>
          <w:szCs w:val="24"/>
          <w:lang w:bidi="pl-PL"/>
        </w:rPr>
        <w:lastRenderedPageBreak/>
        <w:t>medialnej na żądanie może podlegać wpływowi podmiotu lokującego dany produkt i nie będzie to stanowiło naruszenia zasad dotyczących odpowiedzialności redakcyjnej dostawcy takiej usługi (przepis w analogicznym brzmieniu obowiązuje również obecnie)</w:t>
      </w:r>
      <w:r w:rsidR="00271F13">
        <w:rPr>
          <w:rFonts w:ascii="Times New Roman" w:hAnsi="Times New Roman" w:cs="Times New Roman"/>
          <w:sz w:val="24"/>
          <w:szCs w:val="24"/>
          <w:lang w:bidi="pl-PL"/>
        </w:rPr>
        <w:t>?</w:t>
      </w:r>
      <w:r w:rsidRPr="00D82A50">
        <w:rPr>
          <w:rFonts w:ascii="Times New Roman" w:hAnsi="Times New Roman" w:cs="Times New Roman"/>
          <w:sz w:val="24"/>
          <w:szCs w:val="24"/>
          <w:lang w:bidi="pl-PL"/>
        </w:rPr>
        <w:t>;</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11 ust. 3 – z uwagi na dotychczasową praktykę wątpliwości może budzić okoliczność, czy brak w projektowanym przepisie warunku, zgodnie z którym audycje zawierające lokowanie produktu nie mogą nadmiernie eksponować danego produktu, należy interpretować jako możliwość dowolnego eksponowania danego produktu w audycji, czy w wypadku stwierdzenia takiego </w:t>
      </w:r>
      <w:r w:rsidRPr="00271F13">
        <w:rPr>
          <w:rFonts w:ascii="Times New Roman" w:hAnsi="Times New Roman" w:cs="Times New Roman"/>
          <w:i/>
          <w:sz w:val="24"/>
          <w:szCs w:val="24"/>
          <w:lang w:bidi="pl-PL"/>
        </w:rPr>
        <w:t>„nadmiernego eksponowania”</w:t>
      </w:r>
      <w:r w:rsidRPr="00D82A50">
        <w:rPr>
          <w:rFonts w:ascii="Times New Roman" w:hAnsi="Times New Roman" w:cs="Times New Roman"/>
          <w:sz w:val="24"/>
          <w:szCs w:val="24"/>
          <w:lang w:bidi="pl-PL"/>
        </w:rPr>
        <w:t xml:space="preserve"> będzie można np. uznać, iż mamy do czynienia z ukrytym przekazem handlowym;</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12 – niejasny może się okazać sposób klasyfikowania określonych treści, w szczególności w kontekście obecnie obowiązujących przepisów i kategorii audycji. I tak w projektowanym przepisie, który znaleźć ma zastosowanie zarówno do dostawców audiowizualnych usług medialnych na żądanie, jak i nadawców, przewiduje się tylko jedną „kategorię” treści, tj. </w:t>
      </w:r>
      <w:r w:rsidRPr="00271F13">
        <w:rPr>
          <w:rFonts w:ascii="Times New Roman" w:hAnsi="Times New Roman" w:cs="Times New Roman"/>
          <w:i/>
          <w:sz w:val="24"/>
          <w:szCs w:val="24"/>
          <w:lang w:bidi="pl-PL"/>
        </w:rPr>
        <w:t>„audycje, które mogą poważnie zaszkodzić fizycznemu, psychicznemu lub moralnemu rozwojowi małoletnich”</w:t>
      </w:r>
      <w:r w:rsidRPr="00D82A50">
        <w:rPr>
          <w:rFonts w:ascii="Times New Roman" w:hAnsi="Times New Roman" w:cs="Times New Roman"/>
          <w:sz w:val="24"/>
          <w:szCs w:val="24"/>
          <w:lang w:bidi="pl-PL"/>
        </w:rPr>
        <w:t xml:space="preserve">, w ramach której wyodrębnia się jedynie w dość niejasny sposób „najbardziej szkodliwe treści” W związku z tym, czy należy uznać, że audycje określane dotychczas jako </w:t>
      </w:r>
      <w:r w:rsidRPr="00206506">
        <w:rPr>
          <w:rFonts w:ascii="Times New Roman" w:hAnsi="Times New Roman" w:cs="Times New Roman"/>
          <w:i/>
          <w:sz w:val="24"/>
          <w:szCs w:val="24"/>
          <w:lang w:bidi="pl-PL"/>
        </w:rPr>
        <w:t>„mogące zaszkodzić rozwojowi fizycznemu, umysłowemu lub moralnemu małoletnich”</w:t>
      </w:r>
      <w:r w:rsidR="00206506">
        <w:rPr>
          <w:rFonts w:ascii="Times New Roman" w:hAnsi="Times New Roman" w:cs="Times New Roman"/>
          <w:sz w:val="24"/>
          <w:szCs w:val="24"/>
          <w:lang w:bidi="pl-PL"/>
        </w:rPr>
        <w:t xml:space="preserve"> (art. 27</w:t>
      </w:r>
      <w:r w:rsidRPr="00D82A50">
        <w:rPr>
          <w:rFonts w:ascii="Times New Roman" w:hAnsi="Times New Roman" w:cs="Times New Roman"/>
          <w:sz w:val="24"/>
          <w:szCs w:val="24"/>
          <w:lang w:bidi="pl-PL"/>
        </w:rPr>
        <w:t xml:space="preserve"> ust. 2 dyrektywy) nie będą podlegać żadnym ograniczeniom? Wątpliwości budzić może również rozumienie, ocena i wzajemny stosunek środków, jakie dostawcy usług podejmują w celu ochrony małoletnich przed nieodpowiednimi treściami, w szczególności w kontekście wymogu proporcjonalności takich środków do potencjalnej szkodliwości audycji (w tym m.in. </w:t>
      </w:r>
      <w:r w:rsidRPr="00271F13">
        <w:rPr>
          <w:rFonts w:ascii="Times New Roman" w:hAnsi="Times New Roman" w:cs="Times New Roman"/>
          <w:i/>
          <w:sz w:val="24"/>
          <w:szCs w:val="24"/>
          <w:lang w:bidi="pl-PL"/>
        </w:rPr>
        <w:t>„inne rozwiązania techniczne”</w:t>
      </w:r>
      <w:r w:rsidRPr="00D82A50">
        <w:rPr>
          <w:rFonts w:ascii="Times New Roman" w:hAnsi="Times New Roman" w:cs="Times New Roman"/>
          <w:sz w:val="24"/>
          <w:szCs w:val="24"/>
          <w:lang w:bidi="pl-PL"/>
        </w:rPr>
        <w:t xml:space="preserve"> a </w:t>
      </w:r>
      <w:r w:rsidRPr="0005589E">
        <w:rPr>
          <w:rFonts w:ascii="Times New Roman" w:hAnsi="Times New Roman" w:cs="Times New Roman"/>
          <w:i/>
          <w:sz w:val="24"/>
          <w:szCs w:val="24"/>
          <w:lang w:bidi="pl-PL"/>
        </w:rPr>
        <w:t>„skuteczne mechanizmy kontroli rodzicielskiej”,</w:t>
      </w:r>
      <w:r w:rsidRPr="00D82A50">
        <w:rPr>
          <w:rFonts w:ascii="Times New Roman" w:hAnsi="Times New Roman" w:cs="Times New Roman"/>
          <w:sz w:val="24"/>
          <w:szCs w:val="24"/>
          <w:lang w:bidi="pl-PL"/>
        </w:rPr>
        <w:t xml:space="preserve"> odrębne wyliczenie szyfrowania);</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art. 13 ust. 1 – niejasnym jest, czy z uwagi na użycie spójnika „i” za należyte wykonanie obowiązku określonego w tym przepisie uznać należy spełnienie obu warunków, tj. zapewnienie 20% udziału utworów europejskich w katalogu i wyeksponowanie tych utworów.</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art. 13 ust. 2 – wątpliwa wydaje się część przepisu dotycząca dostawców audiowizualnych usług medialnych na żądanie z państw trzecich, w szczególności w odniesieniu do sposobu, w jaki państwa członkowskie mają egzekwować obowiązki nałożone na takiego dostawcę oraz mechanizmów za pomocą których ustala</w:t>
      </w:r>
      <w:r w:rsidR="00B04939">
        <w:rPr>
          <w:rFonts w:ascii="Times New Roman" w:hAnsi="Times New Roman" w:cs="Times New Roman"/>
          <w:sz w:val="24"/>
          <w:szCs w:val="24"/>
          <w:lang w:bidi="pl-PL"/>
        </w:rPr>
        <w:t>ć one mają „przychody generowane</w:t>
      </w:r>
      <w:r w:rsidRPr="00D82A50">
        <w:rPr>
          <w:rFonts w:ascii="Times New Roman" w:hAnsi="Times New Roman" w:cs="Times New Roman"/>
          <w:sz w:val="24"/>
          <w:szCs w:val="24"/>
          <w:lang w:bidi="pl-PL"/>
        </w:rPr>
        <w:t xml:space="preserve"> w państwie członkowskim, do którego kierowana jest oferta”;</w:t>
      </w:r>
    </w:p>
    <w:p w:rsidR="00C329F8" w:rsidRPr="0005589E" w:rsidRDefault="00C329F8" w:rsidP="003E1358">
      <w:pPr>
        <w:pStyle w:val="Akapitzlist"/>
        <w:numPr>
          <w:ilvl w:val="0"/>
          <w:numId w:val="18"/>
        </w:numPr>
        <w:spacing w:after="120"/>
        <w:ind w:left="426" w:hanging="426"/>
        <w:jc w:val="both"/>
        <w:rPr>
          <w:rFonts w:ascii="Times New Roman" w:hAnsi="Times New Roman" w:cs="Times New Roman"/>
          <w:i/>
          <w:sz w:val="24"/>
          <w:szCs w:val="24"/>
          <w:lang w:bidi="pl-PL"/>
        </w:rPr>
      </w:pPr>
      <w:r w:rsidRPr="00D82A50">
        <w:rPr>
          <w:rFonts w:ascii="Times New Roman" w:hAnsi="Times New Roman" w:cs="Times New Roman"/>
          <w:sz w:val="24"/>
          <w:szCs w:val="24"/>
          <w:lang w:bidi="pl-PL"/>
        </w:rPr>
        <w:t xml:space="preserve">art. 13 ust. 5 - projektodawca posługuje się mało precyzyjnymi pojęciami, których interpretacja może być utrudniona zarówno przy wdrażaniu dyrektywy, jak i w procesie stosowania właściwych przepisów – np. </w:t>
      </w:r>
      <w:r w:rsidRPr="0005589E">
        <w:rPr>
          <w:rFonts w:ascii="Times New Roman" w:hAnsi="Times New Roman" w:cs="Times New Roman"/>
          <w:i/>
          <w:sz w:val="24"/>
          <w:szCs w:val="24"/>
          <w:lang w:bidi="pl-PL"/>
        </w:rPr>
        <w:t>„dostawcy o niskich obrotach i małej liczbie</w:t>
      </w:r>
      <w:r w:rsidRPr="00D82A50">
        <w:rPr>
          <w:rFonts w:ascii="Times New Roman" w:hAnsi="Times New Roman" w:cs="Times New Roman"/>
          <w:sz w:val="24"/>
          <w:szCs w:val="24"/>
          <w:lang w:bidi="pl-PL"/>
        </w:rPr>
        <w:t xml:space="preserve"> </w:t>
      </w:r>
      <w:r w:rsidRPr="0005589E">
        <w:rPr>
          <w:rFonts w:ascii="Times New Roman" w:hAnsi="Times New Roman" w:cs="Times New Roman"/>
          <w:i/>
          <w:sz w:val="24"/>
          <w:szCs w:val="24"/>
          <w:lang w:bidi="pl-PL"/>
        </w:rPr>
        <w:t>odbiorców”.</w:t>
      </w:r>
      <w:r w:rsidRPr="00D82A50">
        <w:rPr>
          <w:rFonts w:ascii="Times New Roman" w:hAnsi="Times New Roman" w:cs="Times New Roman"/>
          <w:sz w:val="24"/>
          <w:szCs w:val="24"/>
          <w:lang w:bidi="pl-PL"/>
        </w:rPr>
        <w:t xml:space="preserve"> Niejasne jest, jak należy rozumieć możliwość odstąpienia od wymagań określonych w omawianym przepisie </w:t>
      </w:r>
      <w:r w:rsidRPr="0005589E">
        <w:rPr>
          <w:rFonts w:ascii="Times New Roman" w:hAnsi="Times New Roman" w:cs="Times New Roman"/>
          <w:i/>
          <w:sz w:val="24"/>
          <w:szCs w:val="24"/>
          <w:lang w:bidi="pl-PL"/>
        </w:rPr>
        <w:t>„ze względu na charakter audiowizualnych usług medialnych na żądanie”;</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23 ust. 2 lit. a – niejasny zakres pojęciowy </w:t>
      </w:r>
      <w:r w:rsidRPr="0005589E">
        <w:rPr>
          <w:rFonts w:ascii="Times New Roman" w:hAnsi="Times New Roman" w:cs="Times New Roman"/>
          <w:i/>
          <w:sz w:val="24"/>
          <w:szCs w:val="24"/>
          <w:lang w:bidi="pl-PL"/>
        </w:rPr>
        <w:t>„grupy medialnej”;</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28a ust. 1 – niejasny stosunek do art. 12, który odnosi się do audycji, które </w:t>
      </w:r>
      <w:r w:rsidRPr="0005589E">
        <w:rPr>
          <w:rFonts w:ascii="Times New Roman" w:hAnsi="Times New Roman" w:cs="Times New Roman"/>
          <w:i/>
          <w:sz w:val="24"/>
          <w:szCs w:val="24"/>
          <w:lang w:bidi="pl-PL"/>
        </w:rPr>
        <w:t>„mogą poważnie zaszkodzić fizycznemu, psychicznemu lub moralnemu rozwojowi małoletnich”</w:t>
      </w:r>
      <w:r w:rsidRPr="00D82A50">
        <w:rPr>
          <w:rFonts w:ascii="Times New Roman" w:hAnsi="Times New Roman" w:cs="Times New Roman"/>
          <w:sz w:val="24"/>
          <w:szCs w:val="24"/>
          <w:lang w:bidi="pl-PL"/>
        </w:rPr>
        <w:t xml:space="preserve">. </w:t>
      </w:r>
      <w:r w:rsidRPr="00D82A50">
        <w:rPr>
          <w:rFonts w:ascii="Times New Roman" w:hAnsi="Times New Roman" w:cs="Times New Roman"/>
          <w:sz w:val="24"/>
          <w:szCs w:val="24"/>
          <w:lang w:bidi="pl-PL"/>
        </w:rPr>
        <w:lastRenderedPageBreak/>
        <w:t>W omawianym przepisie mowa o</w:t>
      </w:r>
      <w:r w:rsidRPr="00D82A50">
        <w:rPr>
          <w:rFonts w:ascii="Times New Roman" w:hAnsi="Times New Roman" w:cs="Times New Roman"/>
          <w:noProof/>
          <w:sz w:val="24"/>
          <w:szCs w:val="24"/>
          <w:lang w:bidi="pl-PL"/>
        </w:rPr>
        <w:t xml:space="preserve"> </w:t>
      </w:r>
      <w:r w:rsidRPr="00D82A50">
        <w:rPr>
          <w:rFonts w:ascii="Times New Roman" w:hAnsi="Times New Roman" w:cs="Times New Roman"/>
          <w:sz w:val="24"/>
          <w:szCs w:val="24"/>
          <w:lang w:bidi="pl-PL"/>
        </w:rPr>
        <w:t>treściach, które „</w:t>
      </w:r>
      <w:r w:rsidRPr="0005589E">
        <w:rPr>
          <w:rFonts w:ascii="Times New Roman" w:hAnsi="Times New Roman" w:cs="Times New Roman"/>
          <w:i/>
          <w:sz w:val="24"/>
          <w:szCs w:val="24"/>
          <w:lang w:bidi="pl-PL"/>
        </w:rPr>
        <w:t>mogą zaszkodzić ich fizycznemu, psychicznemu lub moralnemu rozwojowi”</w:t>
      </w:r>
      <w:r w:rsidRPr="00D82A50">
        <w:rPr>
          <w:rFonts w:ascii="Times New Roman" w:hAnsi="Times New Roman" w:cs="Times New Roman"/>
          <w:sz w:val="24"/>
          <w:szCs w:val="24"/>
          <w:lang w:bidi="pl-PL"/>
        </w:rPr>
        <w:t>. W związku z tym wątpliwości budzić może jego interpretacja. Niejasne jest, czy stanowią one całkowicie nową kategorię treści, czy może (mając na uwadze obecnie obowiązujące przepisy) kategorię obejmującą treści potencjalnie mniej szkodliwe niż te, o których mowa w art. 12. Przy czym przyjęcie drugiej interpretacji powodowałoby, że w wypadku platform nie byłoby wymogu stosowania odpowiednich środków do treści mogących poważnie zagrozić rozwojowi małoletnich;</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 xml:space="preserve">art. 28a ust. 2 lit. a – jak należy rozumieć </w:t>
      </w:r>
      <w:r w:rsidRPr="0005589E">
        <w:rPr>
          <w:rFonts w:ascii="Times New Roman" w:hAnsi="Times New Roman" w:cs="Times New Roman"/>
          <w:i/>
          <w:sz w:val="24"/>
          <w:szCs w:val="24"/>
          <w:lang w:bidi="pl-PL"/>
        </w:rPr>
        <w:t>„zdefiniowanie”,</w:t>
      </w:r>
      <w:r w:rsidRPr="00D82A50">
        <w:rPr>
          <w:rFonts w:ascii="Times New Roman" w:hAnsi="Times New Roman" w:cs="Times New Roman"/>
          <w:sz w:val="24"/>
          <w:szCs w:val="24"/>
          <w:lang w:bidi="pl-PL"/>
        </w:rPr>
        <w:t xml:space="preserve"> tj. czy mowa tu o poinformowaniu użytkowników o treści odpowiednio art. 6 i 12, czy przepis ten uprawnia dostawców tego rodzaju platform do stworzenia własnych definicji, z uwzględnieniem treści ww. przepisów;</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art. 28a ust. 2 lit. c – niejasne ograniczenie przedmiotowego przepisu tylko do</w:t>
      </w:r>
      <w:r w:rsidRPr="00D82A50">
        <w:rPr>
          <w:rFonts w:ascii="Times New Roman" w:hAnsi="Times New Roman" w:cs="Times New Roman"/>
          <w:noProof/>
          <w:sz w:val="24"/>
          <w:szCs w:val="24"/>
          <w:lang w:bidi="pl-PL"/>
        </w:rPr>
        <w:t xml:space="preserve"> </w:t>
      </w:r>
      <w:r w:rsidRPr="00D82A50">
        <w:rPr>
          <w:rFonts w:ascii="Times New Roman" w:hAnsi="Times New Roman" w:cs="Times New Roman"/>
          <w:sz w:val="24"/>
          <w:szCs w:val="24"/>
          <w:lang w:bidi="pl-PL"/>
        </w:rPr>
        <w:t>treści, które mogą zaszkodzić fizycznemu, psychicznemu lub moralnemu rozwojowi małoletnich, a w konsekwencji wyłączenie</w:t>
      </w:r>
      <w:r w:rsidRPr="00D82A50">
        <w:rPr>
          <w:rFonts w:ascii="Times New Roman" w:hAnsi="Times New Roman" w:cs="Times New Roman"/>
          <w:noProof/>
          <w:sz w:val="24"/>
          <w:szCs w:val="24"/>
          <w:lang w:bidi="pl-PL"/>
        </w:rPr>
        <w:t xml:space="preserve"> </w:t>
      </w:r>
      <w:r w:rsidRPr="00D82A50">
        <w:rPr>
          <w:rFonts w:ascii="Times New Roman" w:hAnsi="Times New Roman" w:cs="Times New Roman"/>
          <w:sz w:val="24"/>
          <w:szCs w:val="24"/>
          <w:lang w:bidi="pl-PL"/>
        </w:rPr>
        <w:t>treści nawołujących do przemocy lub nienawiści wobec grupy osób lub członka takiej grupy, wyodrębnionych ze względu na płeć, rasę, kolor skóry, religię, pochodzenie lub przynależność narodową lub etniczną. Wskazać przy tym można na wątpliwości dotyczące ewentualnego funkcjonowania opisywanych mechanizmów praktyce, w tym np. w sytuacji gdy w ramach platformy udostępniania plików dany podmiot świadczy audiowizualną usługę medialną na żądanie. W szczególności w przypadku przyjęcia dwóch odrębnych systemów klasyfikacji treści (dla usług medialnych i dla platform) wydaje się, że wystąpić mógłby problem podwójnego i rozbieżnego ich oznaczania;</w:t>
      </w:r>
    </w:p>
    <w:p w:rsidR="00C329F8" w:rsidRPr="0005589E" w:rsidRDefault="00C329F8" w:rsidP="003E1358">
      <w:pPr>
        <w:pStyle w:val="Akapitzlist"/>
        <w:numPr>
          <w:ilvl w:val="0"/>
          <w:numId w:val="18"/>
        </w:numPr>
        <w:spacing w:after="120"/>
        <w:ind w:left="426" w:hanging="426"/>
        <w:jc w:val="both"/>
        <w:rPr>
          <w:rFonts w:ascii="Times New Roman" w:hAnsi="Times New Roman" w:cs="Times New Roman"/>
          <w:i/>
          <w:sz w:val="24"/>
          <w:szCs w:val="24"/>
          <w:lang w:bidi="pl-PL"/>
        </w:rPr>
      </w:pPr>
      <w:r w:rsidRPr="00D82A50">
        <w:rPr>
          <w:rFonts w:ascii="Times New Roman" w:hAnsi="Times New Roman" w:cs="Times New Roman"/>
          <w:sz w:val="24"/>
          <w:szCs w:val="24"/>
          <w:lang w:bidi="pl-PL"/>
        </w:rPr>
        <w:t xml:space="preserve">art. 28a ust. 6 – wątpliwości, w kontekście obowiązujących w Polsce przepisów, co do interpretacji pojęcia </w:t>
      </w:r>
      <w:r w:rsidRPr="0005589E">
        <w:rPr>
          <w:rFonts w:ascii="Times New Roman" w:hAnsi="Times New Roman" w:cs="Times New Roman"/>
          <w:i/>
          <w:sz w:val="24"/>
          <w:szCs w:val="24"/>
          <w:lang w:bidi="pl-PL"/>
        </w:rPr>
        <w:t>„mechanizmów składania skarg i dochodzenia roszczeń na potrzeby rozstrzygania sporów między użytkownikami a dostawcami platform”;</w:t>
      </w:r>
    </w:p>
    <w:p w:rsidR="00C329F8" w:rsidRPr="0005589E" w:rsidRDefault="00C329F8" w:rsidP="003E1358">
      <w:pPr>
        <w:pStyle w:val="Akapitzlist"/>
        <w:numPr>
          <w:ilvl w:val="0"/>
          <w:numId w:val="18"/>
        </w:numPr>
        <w:spacing w:after="120"/>
        <w:ind w:left="426" w:hanging="426"/>
        <w:jc w:val="both"/>
        <w:rPr>
          <w:rFonts w:ascii="Times New Roman" w:hAnsi="Times New Roman" w:cs="Times New Roman"/>
          <w:i/>
          <w:sz w:val="24"/>
          <w:szCs w:val="24"/>
          <w:lang w:bidi="pl-PL"/>
        </w:rPr>
      </w:pPr>
      <w:r w:rsidRPr="00D82A50">
        <w:rPr>
          <w:rFonts w:ascii="Times New Roman" w:hAnsi="Times New Roman" w:cs="Times New Roman"/>
          <w:sz w:val="24"/>
          <w:szCs w:val="24"/>
          <w:lang w:bidi="pl-PL"/>
        </w:rPr>
        <w:t>art. 28b ust. 2 – nie jest jasne, w jaki sposób</w:t>
      </w:r>
      <w:r w:rsidRPr="00D82A50">
        <w:rPr>
          <w:rFonts w:ascii="Times New Roman" w:hAnsi="Times New Roman" w:cs="Times New Roman"/>
          <w:noProof/>
          <w:sz w:val="24"/>
          <w:szCs w:val="24"/>
          <w:lang w:bidi="pl-PL"/>
        </w:rPr>
        <w:t xml:space="preserve"> </w:t>
      </w:r>
      <w:r w:rsidRPr="00D82A50">
        <w:rPr>
          <w:rFonts w:ascii="Times New Roman" w:hAnsi="Times New Roman" w:cs="Times New Roman"/>
          <w:sz w:val="24"/>
          <w:szCs w:val="24"/>
          <w:lang w:bidi="pl-PL"/>
        </w:rPr>
        <w:t xml:space="preserve">państwa członkowskie </w:t>
      </w:r>
      <w:r w:rsidRPr="0005589E">
        <w:rPr>
          <w:rFonts w:ascii="Times New Roman" w:hAnsi="Times New Roman" w:cs="Times New Roman"/>
          <w:i/>
          <w:sz w:val="24"/>
          <w:szCs w:val="24"/>
          <w:lang w:bidi="pl-PL"/>
        </w:rPr>
        <w:t>„zapewniają”,</w:t>
      </w:r>
      <w:r w:rsidRPr="00D82A50">
        <w:rPr>
          <w:rFonts w:ascii="Times New Roman" w:hAnsi="Times New Roman" w:cs="Times New Roman"/>
          <w:sz w:val="24"/>
          <w:szCs w:val="24"/>
          <w:lang w:bidi="pl-PL"/>
        </w:rPr>
        <w:t xml:space="preserve"> by dostawcy platform udostępniania plików wideo, którzy nie mają siedziby na ich terytorium, lecz których jednostka dominująca lub zależna ma siedzibę na ich terytorium, bądź też którzy są częścią grupy, której inny podmiot ma siedzibę na ich terytorium, byli uznawani za mających siedzibę na ich terytorium do celów art. 3 ust. 1 dyrektywy 2000/31/WE. Podobnie wskazać można na wątpliwości co do środków, jakimi państwa członkowskie</w:t>
      </w:r>
      <w:r w:rsidRPr="00D82A50">
        <w:rPr>
          <w:rFonts w:ascii="Times New Roman" w:hAnsi="Times New Roman" w:cs="Times New Roman"/>
          <w:noProof/>
          <w:sz w:val="24"/>
          <w:szCs w:val="24"/>
          <w:lang w:bidi="pl-PL"/>
        </w:rPr>
        <w:t xml:space="preserve"> </w:t>
      </w:r>
      <w:r w:rsidRPr="0005589E">
        <w:rPr>
          <w:rFonts w:ascii="Times New Roman" w:hAnsi="Times New Roman" w:cs="Times New Roman"/>
          <w:i/>
          <w:sz w:val="24"/>
          <w:szCs w:val="24"/>
          <w:lang w:bidi="pl-PL"/>
        </w:rPr>
        <w:t>„zobowiązują dostawcę do wskazania, które z tych państw członkowskich należy uznać za państwo jego siedziby”;</w:t>
      </w:r>
    </w:p>
    <w:p w:rsidR="00C329F8" w:rsidRPr="00D82A50" w:rsidRDefault="00C329F8" w:rsidP="003E1358">
      <w:pPr>
        <w:pStyle w:val="Akapitzlist"/>
        <w:numPr>
          <w:ilvl w:val="0"/>
          <w:numId w:val="18"/>
        </w:numPr>
        <w:spacing w:after="120"/>
        <w:ind w:left="426" w:hanging="426"/>
        <w:jc w:val="both"/>
        <w:rPr>
          <w:rFonts w:ascii="Times New Roman" w:hAnsi="Times New Roman" w:cs="Times New Roman"/>
          <w:sz w:val="24"/>
          <w:szCs w:val="24"/>
          <w:lang w:bidi="pl-PL"/>
        </w:rPr>
      </w:pPr>
      <w:r w:rsidRPr="00D82A50">
        <w:rPr>
          <w:rFonts w:ascii="Times New Roman" w:hAnsi="Times New Roman" w:cs="Times New Roman"/>
          <w:sz w:val="24"/>
          <w:szCs w:val="24"/>
          <w:lang w:bidi="pl-PL"/>
        </w:rPr>
        <w:t>art. 30 ust. 4 – w obecnym stanie prawnym w pewnych wypadkach brak odpowiednich uprawnień organu regulacyjnego, np. w przypadku konieczności weryfikacji, czy dany usługodawca stanowi dostawcę audiowizualnej usługi medialnej na żądanie (brak możliwości wiążącego żądania wyjaśnień od podmiotu, co do usługi którego powstaje wątpliwość, m.in. z uwagi na ograniczenie zastosowania art. 10 ustawy o radiofonii i telewizji czy odpowiednich przepisów k.p.a.) czy braki w przepisach dotyczących nakładania kar.</w:t>
      </w:r>
    </w:p>
    <w:p w:rsidR="00D82A50" w:rsidRPr="00D82A50" w:rsidRDefault="00D82A50" w:rsidP="003E1358">
      <w:pPr>
        <w:spacing w:after="120"/>
        <w:jc w:val="both"/>
        <w:rPr>
          <w:rFonts w:ascii="Times New Roman" w:hAnsi="Times New Roman" w:cs="Times New Roman"/>
          <w:sz w:val="24"/>
          <w:szCs w:val="24"/>
          <w:lang w:bidi="pl-PL"/>
        </w:rPr>
      </w:pPr>
    </w:p>
    <w:p w:rsidR="003E1358" w:rsidRPr="003E1358" w:rsidRDefault="003E1358" w:rsidP="003E1358">
      <w:pPr>
        <w:pStyle w:val="Akapitzlist"/>
        <w:spacing w:after="120"/>
        <w:ind w:left="1004"/>
        <w:rPr>
          <w:rFonts w:asciiTheme="majorBidi" w:hAnsiTheme="majorBidi" w:cstheme="majorBidi"/>
          <w:sz w:val="24"/>
          <w:szCs w:val="24"/>
        </w:rPr>
      </w:pPr>
    </w:p>
    <w:sectPr w:rsidR="003E1358" w:rsidRPr="003E1358" w:rsidSect="00331AF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AC" w:rsidRDefault="001667AC" w:rsidP="00AE7416">
      <w:pPr>
        <w:spacing w:after="0" w:line="240" w:lineRule="auto"/>
      </w:pPr>
      <w:r>
        <w:separator/>
      </w:r>
    </w:p>
  </w:endnote>
  <w:endnote w:type="continuationSeparator" w:id="0">
    <w:p w:rsidR="001667AC" w:rsidRDefault="001667AC" w:rsidP="00AE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75405"/>
      <w:docPartObj>
        <w:docPartGallery w:val="Page Numbers (Bottom of Page)"/>
        <w:docPartUnique/>
      </w:docPartObj>
    </w:sdtPr>
    <w:sdtEndPr>
      <w:rPr>
        <w:noProof/>
      </w:rPr>
    </w:sdtEndPr>
    <w:sdtContent>
      <w:p w:rsidR="00D14227" w:rsidRDefault="009C5743">
        <w:pPr>
          <w:pStyle w:val="Stopka"/>
          <w:jc w:val="center"/>
        </w:pPr>
        <w:r>
          <w:fldChar w:fldCharType="begin"/>
        </w:r>
        <w:r>
          <w:instrText xml:space="preserve"> PAGE   \* MERGEFORMAT </w:instrText>
        </w:r>
        <w:r>
          <w:fldChar w:fldCharType="separate"/>
        </w:r>
        <w:r w:rsidR="00881531">
          <w:rPr>
            <w:noProof/>
          </w:rPr>
          <w:t>9</w:t>
        </w:r>
        <w:r>
          <w:rPr>
            <w:noProof/>
          </w:rPr>
          <w:fldChar w:fldCharType="end"/>
        </w:r>
      </w:p>
    </w:sdtContent>
  </w:sdt>
  <w:p w:rsidR="00D14227" w:rsidRDefault="00D142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AC" w:rsidRDefault="001667AC" w:rsidP="00AE7416">
      <w:pPr>
        <w:spacing w:after="0" w:line="240" w:lineRule="auto"/>
      </w:pPr>
      <w:r>
        <w:separator/>
      </w:r>
    </w:p>
  </w:footnote>
  <w:footnote w:type="continuationSeparator" w:id="0">
    <w:p w:rsidR="001667AC" w:rsidRDefault="001667AC" w:rsidP="00AE7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27" w:rsidRDefault="00D14227" w:rsidP="007C07E0">
    <w:pPr>
      <w:pStyle w:val="Nagwek"/>
      <w:ind w:hanging="709"/>
    </w:pPr>
    <w:r>
      <w:rPr>
        <w:noProof/>
        <w:lang w:eastAsia="pl-PL"/>
      </w:rPr>
      <w:drawing>
        <wp:inline distT="0" distB="0" distL="0" distR="0" wp14:anchorId="35BBEA78" wp14:editId="051EC8E7">
          <wp:extent cx="2005965"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15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D6C"/>
    <w:multiLevelType w:val="hybridMultilevel"/>
    <w:tmpl w:val="F6AA7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791FBF"/>
    <w:multiLevelType w:val="hybridMultilevel"/>
    <w:tmpl w:val="0FB6F8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2E77E6"/>
    <w:multiLevelType w:val="hybridMultilevel"/>
    <w:tmpl w:val="17520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B27881"/>
    <w:multiLevelType w:val="hybridMultilevel"/>
    <w:tmpl w:val="7E3673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221083"/>
    <w:multiLevelType w:val="hybridMultilevel"/>
    <w:tmpl w:val="992E23A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30DB10DA"/>
    <w:multiLevelType w:val="hybridMultilevel"/>
    <w:tmpl w:val="5C708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18267C"/>
    <w:multiLevelType w:val="hybridMultilevel"/>
    <w:tmpl w:val="1B8E7AF6"/>
    <w:lvl w:ilvl="0" w:tplc="E2462C6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3A866CCB"/>
    <w:multiLevelType w:val="hybridMultilevel"/>
    <w:tmpl w:val="B198BA64"/>
    <w:lvl w:ilvl="0" w:tplc="04150011">
      <w:start w:val="1"/>
      <w:numFmt w:val="decimal"/>
      <w:lvlText w:val="%1)"/>
      <w:lvlJc w:val="left"/>
      <w:pPr>
        <w:ind w:left="720" w:hanging="360"/>
      </w:pPr>
    </w:lvl>
    <w:lvl w:ilvl="1" w:tplc="1982F03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035BD3"/>
    <w:multiLevelType w:val="hybridMultilevel"/>
    <w:tmpl w:val="CD026A7A"/>
    <w:lvl w:ilvl="0" w:tplc="E2462C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23B0387"/>
    <w:multiLevelType w:val="hybridMultilevel"/>
    <w:tmpl w:val="10C82438"/>
    <w:lvl w:ilvl="0" w:tplc="E2462C6E">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nsid w:val="44287E48"/>
    <w:multiLevelType w:val="hybridMultilevel"/>
    <w:tmpl w:val="C0E6CC4C"/>
    <w:lvl w:ilvl="0" w:tplc="AF5AA2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99162A"/>
    <w:multiLevelType w:val="hybridMultilevel"/>
    <w:tmpl w:val="BF8016CE"/>
    <w:lvl w:ilvl="0" w:tplc="B9522C02">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D03854"/>
    <w:multiLevelType w:val="hybridMultilevel"/>
    <w:tmpl w:val="0EBEF756"/>
    <w:lvl w:ilvl="0" w:tplc="566A8D7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50BF7AD6"/>
    <w:multiLevelType w:val="hybridMultilevel"/>
    <w:tmpl w:val="871CE186"/>
    <w:lvl w:ilvl="0" w:tplc="A566C00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51B14010"/>
    <w:multiLevelType w:val="hybridMultilevel"/>
    <w:tmpl w:val="C5922A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5572415F"/>
    <w:multiLevelType w:val="hybridMultilevel"/>
    <w:tmpl w:val="EA485B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214E36"/>
    <w:multiLevelType w:val="hybridMultilevel"/>
    <w:tmpl w:val="B388ECE0"/>
    <w:lvl w:ilvl="0" w:tplc="0B9493AC">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A7D2A20"/>
    <w:multiLevelType w:val="hybridMultilevel"/>
    <w:tmpl w:val="EA4E3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D85C0E"/>
    <w:multiLevelType w:val="hybridMultilevel"/>
    <w:tmpl w:val="97287C4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63B1414D"/>
    <w:multiLevelType w:val="hybridMultilevel"/>
    <w:tmpl w:val="B37E8D14"/>
    <w:lvl w:ilvl="0" w:tplc="A566C0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5C63C5C"/>
    <w:multiLevelType w:val="hybridMultilevel"/>
    <w:tmpl w:val="FD8A4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86561F"/>
    <w:multiLevelType w:val="hybridMultilevel"/>
    <w:tmpl w:val="56D45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933164D"/>
    <w:multiLevelType w:val="hybridMultilevel"/>
    <w:tmpl w:val="E83A81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056F4F"/>
    <w:multiLevelType w:val="hybridMultilevel"/>
    <w:tmpl w:val="F99EB662"/>
    <w:lvl w:ilvl="0" w:tplc="99909E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B4358D"/>
    <w:multiLevelType w:val="hybridMultilevel"/>
    <w:tmpl w:val="0ADCE86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nsid w:val="73567417"/>
    <w:multiLevelType w:val="hybridMultilevel"/>
    <w:tmpl w:val="F2065A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8523276"/>
    <w:multiLevelType w:val="hybridMultilevel"/>
    <w:tmpl w:val="4A529484"/>
    <w:lvl w:ilvl="0" w:tplc="A566C0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8"/>
  </w:num>
  <w:num w:numId="4">
    <w:abstractNumId w:val="1"/>
  </w:num>
  <w:num w:numId="5">
    <w:abstractNumId w:val="0"/>
  </w:num>
  <w:num w:numId="6">
    <w:abstractNumId w:val="20"/>
  </w:num>
  <w:num w:numId="7">
    <w:abstractNumId w:val="10"/>
  </w:num>
  <w:num w:numId="8">
    <w:abstractNumId w:val="19"/>
  </w:num>
  <w:num w:numId="9">
    <w:abstractNumId w:val="11"/>
  </w:num>
  <w:num w:numId="10">
    <w:abstractNumId w:val="26"/>
  </w:num>
  <w:num w:numId="11">
    <w:abstractNumId w:val="16"/>
  </w:num>
  <w:num w:numId="12">
    <w:abstractNumId w:val="2"/>
  </w:num>
  <w:num w:numId="13">
    <w:abstractNumId w:val="7"/>
  </w:num>
  <w:num w:numId="14">
    <w:abstractNumId w:val="17"/>
  </w:num>
  <w:num w:numId="15">
    <w:abstractNumId w:val="4"/>
  </w:num>
  <w:num w:numId="16">
    <w:abstractNumId w:val="13"/>
  </w:num>
  <w:num w:numId="17">
    <w:abstractNumId w:val="15"/>
  </w:num>
  <w:num w:numId="18">
    <w:abstractNumId w:val="23"/>
  </w:num>
  <w:num w:numId="19">
    <w:abstractNumId w:val="12"/>
  </w:num>
  <w:num w:numId="20">
    <w:abstractNumId w:val="9"/>
  </w:num>
  <w:num w:numId="21">
    <w:abstractNumId w:val="6"/>
  </w:num>
  <w:num w:numId="22">
    <w:abstractNumId w:val="24"/>
  </w:num>
  <w:num w:numId="23">
    <w:abstractNumId w:val="5"/>
  </w:num>
  <w:num w:numId="24">
    <w:abstractNumId w:val="3"/>
  </w:num>
  <w:num w:numId="25">
    <w:abstractNumId w:val="25"/>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C8"/>
    <w:rsid w:val="00020488"/>
    <w:rsid w:val="00020BB2"/>
    <w:rsid w:val="00036D39"/>
    <w:rsid w:val="0005033D"/>
    <w:rsid w:val="0005589E"/>
    <w:rsid w:val="000654BB"/>
    <w:rsid w:val="00067FE8"/>
    <w:rsid w:val="000865F2"/>
    <w:rsid w:val="0009652A"/>
    <w:rsid w:val="00096790"/>
    <w:rsid w:val="000A15E5"/>
    <w:rsid w:val="000A7C95"/>
    <w:rsid w:val="000B00D7"/>
    <w:rsid w:val="000D731B"/>
    <w:rsid w:val="000E7E39"/>
    <w:rsid w:val="0010429B"/>
    <w:rsid w:val="00111FAE"/>
    <w:rsid w:val="00114D00"/>
    <w:rsid w:val="001212FD"/>
    <w:rsid w:val="00133DB1"/>
    <w:rsid w:val="001442E7"/>
    <w:rsid w:val="001667AC"/>
    <w:rsid w:val="00174D4D"/>
    <w:rsid w:val="001876CA"/>
    <w:rsid w:val="00194964"/>
    <w:rsid w:val="001C4156"/>
    <w:rsid w:val="001C5F4B"/>
    <w:rsid w:val="001C75EA"/>
    <w:rsid w:val="001D0356"/>
    <w:rsid w:val="001F215C"/>
    <w:rsid w:val="001F3324"/>
    <w:rsid w:val="00206506"/>
    <w:rsid w:val="002068C3"/>
    <w:rsid w:val="002270A0"/>
    <w:rsid w:val="002301F1"/>
    <w:rsid w:val="00271F13"/>
    <w:rsid w:val="00292CD3"/>
    <w:rsid w:val="002A16E1"/>
    <w:rsid w:val="002B7028"/>
    <w:rsid w:val="002C0D38"/>
    <w:rsid w:val="002C6183"/>
    <w:rsid w:val="002D27D4"/>
    <w:rsid w:val="002F190A"/>
    <w:rsid w:val="002F2B09"/>
    <w:rsid w:val="00303583"/>
    <w:rsid w:val="0030363F"/>
    <w:rsid w:val="00330DA9"/>
    <w:rsid w:val="00331AF8"/>
    <w:rsid w:val="00344CA7"/>
    <w:rsid w:val="00382567"/>
    <w:rsid w:val="00393BA0"/>
    <w:rsid w:val="003A5CBD"/>
    <w:rsid w:val="003B3D3F"/>
    <w:rsid w:val="003D412B"/>
    <w:rsid w:val="003E1358"/>
    <w:rsid w:val="003F54B9"/>
    <w:rsid w:val="00412965"/>
    <w:rsid w:val="0041537E"/>
    <w:rsid w:val="00440A6B"/>
    <w:rsid w:val="00452C66"/>
    <w:rsid w:val="00472A89"/>
    <w:rsid w:val="0048459A"/>
    <w:rsid w:val="00486DA5"/>
    <w:rsid w:val="00497FA8"/>
    <w:rsid w:val="004A1AE0"/>
    <w:rsid w:val="004A53B4"/>
    <w:rsid w:val="004B0D23"/>
    <w:rsid w:val="004B477A"/>
    <w:rsid w:val="004B4F84"/>
    <w:rsid w:val="004B7238"/>
    <w:rsid w:val="004C1017"/>
    <w:rsid w:val="004C56C8"/>
    <w:rsid w:val="004F32BF"/>
    <w:rsid w:val="004F6973"/>
    <w:rsid w:val="00501EE4"/>
    <w:rsid w:val="00507CD8"/>
    <w:rsid w:val="00514B54"/>
    <w:rsid w:val="0052409B"/>
    <w:rsid w:val="00574D59"/>
    <w:rsid w:val="00587437"/>
    <w:rsid w:val="005C3F47"/>
    <w:rsid w:val="005D4A0C"/>
    <w:rsid w:val="005E7A6D"/>
    <w:rsid w:val="00622B28"/>
    <w:rsid w:val="006300CC"/>
    <w:rsid w:val="00665AB9"/>
    <w:rsid w:val="0067443B"/>
    <w:rsid w:val="006B15C0"/>
    <w:rsid w:val="006C064C"/>
    <w:rsid w:val="007005B9"/>
    <w:rsid w:val="00705C16"/>
    <w:rsid w:val="00707234"/>
    <w:rsid w:val="007159D0"/>
    <w:rsid w:val="007274ED"/>
    <w:rsid w:val="007303D3"/>
    <w:rsid w:val="007303FA"/>
    <w:rsid w:val="00733D86"/>
    <w:rsid w:val="00734691"/>
    <w:rsid w:val="00755AE2"/>
    <w:rsid w:val="00794C3C"/>
    <w:rsid w:val="007B2862"/>
    <w:rsid w:val="007C07E0"/>
    <w:rsid w:val="007C3975"/>
    <w:rsid w:val="007D55F8"/>
    <w:rsid w:val="007E1DC4"/>
    <w:rsid w:val="007F1454"/>
    <w:rsid w:val="00815764"/>
    <w:rsid w:val="0087630E"/>
    <w:rsid w:val="00880524"/>
    <w:rsid w:val="00881531"/>
    <w:rsid w:val="008B73E6"/>
    <w:rsid w:val="008D2059"/>
    <w:rsid w:val="008E2BC7"/>
    <w:rsid w:val="008F31F3"/>
    <w:rsid w:val="0090101F"/>
    <w:rsid w:val="00913E26"/>
    <w:rsid w:val="009210D3"/>
    <w:rsid w:val="009418BD"/>
    <w:rsid w:val="00941ECA"/>
    <w:rsid w:val="009437E0"/>
    <w:rsid w:val="0095325B"/>
    <w:rsid w:val="009669BD"/>
    <w:rsid w:val="009C5743"/>
    <w:rsid w:val="009C6324"/>
    <w:rsid w:val="00A36F33"/>
    <w:rsid w:val="00A53BF3"/>
    <w:rsid w:val="00A6751E"/>
    <w:rsid w:val="00A766A3"/>
    <w:rsid w:val="00AA714D"/>
    <w:rsid w:val="00AC4A1E"/>
    <w:rsid w:val="00AE7416"/>
    <w:rsid w:val="00B034C1"/>
    <w:rsid w:val="00B04939"/>
    <w:rsid w:val="00B06ABB"/>
    <w:rsid w:val="00B12588"/>
    <w:rsid w:val="00B401D4"/>
    <w:rsid w:val="00B74A57"/>
    <w:rsid w:val="00B879C1"/>
    <w:rsid w:val="00B94E0E"/>
    <w:rsid w:val="00BA027F"/>
    <w:rsid w:val="00BE7841"/>
    <w:rsid w:val="00BF5028"/>
    <w:rsid w:val="00C0036B"/>
    <w:rsid w:val="00C05843"/>
    <w:rsid w:val="00C07677"/>
    <w:rsid w:val="00C113E5"/>
    <w:rsid w:val="00C240F5"/>
    <w:rsid w:val="00C2535F"/>
    <w:rsid w:val="00C30335"/>
    <w:rsid w:val="00C32884"/>
    <w:rsid w:val="00C329F8"/>
    <w:rsid w:val="00C376A4"/>
    <w:rsid w:val="00C545B2"/>
    <w:rsid w:val="00C56AF9"/>
    <w:rsid w:val="00C57D6B"/>
    <w:rsid w:val="00C66287"/>
    <w:rsid w:val="00C85598"/>
    <w:rsid w:val="00CB0A3A"/>
    <w:rsid w:val="00CB338B"/>
    <w:rsid w:val="00CB53DE"/>
    <w:rsid w:val="00CD6ACB"/>
    <w:rsid w:val="00CE1F18"/>
    <w:rsid w:val="00CE5571"/>
    <w:rsid w:val="00D14227"/>
    <w:rsid w:val="00D14335"/>
    <w:rsid w:val="00D163BC"/>
    <w:rsid w:val="00D26196"/>
    <w:rsid w:val="00D41A90"/>
    <w:rsid w:val="00D62964"/>
    <w:rsid w:val="00D67ED8"/>
    <w:rsid w:val="00D71D08"/>
    <w:rsid w:val="00D82A50"/>
    <w:rsid w:val="00D87552"/>
    <w:rsid w:val="00DC1489"/>
    <w:rsid w:val="00DC18DA"/>
    <w:rsid w:val="00DC5CB5"/>
    <w:rsid w:val="00DC7199"/>
    <w:rsid w:val="00DC7336"/>
    <w:rsid w:val="00DD74FF"/>
    <w:rsid w:val="00DD775F"/>
    <w:rsid w:val="00E04980"/>
    <w:rsid w:val="00E11879"/>
    <w:rsid w:val="00E424DA"/>
    <w:rsid w:val="00E8111B"/>
    <w:rsid w:val="00EB24E8"/>
    <w:rsid w:val="00EB3E7E"/>
    <w:rsid w:val="00EC670D"/>
    <w:rsid w:val="00EE6D05"/>
    <w:rsid w:val="00F26C8C"/>
    <w:rsid w:val="00F34A50"/>
    <w:rsid w:val="00F426A6"/>
    <w:rsid w:val="00F56CB1"/>
    <w:rsid w:val="00F665BE"/>
    <w:rsid w:val="00F76AC1"/>
    <w:rsid w:val="00F933B4"/>
    <w:rsid w:val="00FC442F"/>
    <w:rsid w:val="00FD1093"/>
    <w:rsid w:val="00FD4D62"/>
    <w:rsid w:val="00FE25D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56C8"/>
    <w:pPr>
      <w:ind w:left="720"/>
      <w:contextualSpacing/>
    </w:pPr>
  </w:style>
  <w:style w:type="paragraph" w:styleId="Tekstdymka">
    <w:name w:val="Balloon Text"/>
    <w:basedOn w:val="Normalny"/>
    <w:link w:val="TekstdymkaZnak"/>
    <w:uiPriority w:val="99"/>
    <w:semiHidden/>
    <w:unhideWhenUsed/>
    <w:rsid w:val="00292C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2CD3"/>
    <w:rPr>
      <w:rFonts w:ascii="Tahoma" w:hAnsi="Tahoma" w:cs="Tahoma"/>
      <w:sz w:val="16"/>
      <w:szCs w:val="16"/>
    </w:rPr>
  </w:style>
  <w:style w:type="paragraph" w:styleId="Nagwek">
    <w:name w:val="header"/>
    <w:basedOn w:val="Normalny"/>
    <w:link w:val="NagwekZnak"/>
    <w:uiPriority w:val="99"/>
    <w:unhideWhenUsed/>
    <w:rsid w:val="00AE74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416"/>
  </w:style>
  <w:style w:type="paragraph" w:styleId="Stopka">
    <w:name w:val="footer"/>
    <w:basedOn w:val="Normalny"/>
    <w:link w:val="StopkaZnak"/>
    <w:uiPriority w:val="99"/>
    <w:unhideWhenUsed/>
    <w:rsid w:val="00AE74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416"/>
  </w:style>
  <w:style w:type="paragraph" w:styleId="Tekstprzypisudolnego">
    <w:name w:val="footnote text"/>
    <w:basedOn w:val="Normalny"/>
    <w:link w:val="TekstprzypisudolnegoZnak"/>
    <w:unhideWhenUsed/>
    <w:rsid w:val="00114D00"/>
    <w:pPr>
      <w:spacing w:after="0" w:line="240" w:lineRule="auto"/>
    </w:pPr>
    <w:rPr>
      <w:sz w:val="20"/>
      <w:szCs w:val="20"/>
    </w:rPr>
  </w:style>
  <w:style w:type="character" w:customStyle="1" w:styleId="TekstprzypisudolnegoZnak">
    <w:name w:val="Tekst przypisu dolnego Znak"/>
    <w:basedOn w:val="Domylnaczcionkaakapitu"/>
    <w:link w:val="Tekstprzypisudolnego"/>
    <w:rsid w:val="00114D00"/>
    <w:rPr>
      <w:sz w:val="20"/>
      <w:szCs w:val="20"/>
    </w:rPr>
  </w:style>
  <w:style w:type="character" w:styleId="Odwoanieprzypisudolnego">
    <w:name w:val="footnote reference"/>
    <w:basedOn w:val="Domylnaczcionkaakapitu"/>
    <w:uiPriority w:val="99"/>
    <w:semiHidden/>
    <w:unhideWhenUsed/>
    <w:rsid w:val="00114D00"/>
    <w:rPr>
      <w:vertAlign w:val="superscript"/>
    </w:rPr>
  </w:style>
  <w:style w:type="paragraph" w:styleId="Tekstprzypisukocowego">
    <w:name w:val="endnote text"/>
    <w:basedOn w:val="Normalny"/>
    <w:link w:val="TekstprzypisukocowegoZnak"/>
    <w:uiPriority w:val="99"/>
    <w:semiHidden/>
    <w:unhideWhenUsed/>
    <w:rsid w:val="00F7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6AC1"/>
    <w:rPr>
      <w:sz w:val="20"/>
      <w:szCs w:val="20"/>
    </w:rPr>
  </w:style>
  <w:style w:type="character" w:styleId="Odwoanieprzypisukocowego">
    <w:name w:val="endnote reference"/>
    <w:basedOn w:val="Domylnaczcionkaakapitu"/>
    <w:uiPriority w:val="99"/>
    <w:semiHidden/>
    <w:unhideWhenUsed/>
    <w:rsid w:val="00F76AC1"/>
    <w:rPr>
      <w:vertAlign w:val="superscript"/>
    </w:rPr>
  </w:style>
  <w:style w:type="character" w:styleId="Hipercze">
    <w:name w:val="Hyperlink"/>
    <w:unhideWhenUsed/>
    <w:rsid w:val="00B879C1"/>
    <w:rPr>
      <w:color w:val="0000FF"/>
      <w:u w:val="single"/>
    </w:rPr>
  </w:style>
  <w:style w:type="character" w:styleId="Odwoaniedokomentarza">
    <w:name w:val="annotation reference"/>
    <w:basedOn w:val="Domylnaczcionkaakapitu"/>
    <w:uiPriority w:val="99"/>
    <w:semiHidden/>
    <w:unhideWhenUsed/>
    <w:rsid w:val="00AA714D"/>
    <w:rPr>
      <w:sz w:val="16"/>
      <w:szCs w:val="16"/>
    </w:rPr>
  </w:style>
  <w:style w:type="paragraph" w:styleId="Tekstkomentarza">
    <w:name w:val="annotation text"/>
    <w:basedOn w:val="Normalny"/>
    <w:link w:val="TekstkomentarzaZnak"/>
    <w:uiPriority w:val="99"/>
    <w:semiHidden/>
    <w:unhideWhenUsed/>
    <w:rsid w:val="00AA71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714D"/>
    <w:rPr>
      <w:sz w:val="20"/>
      <w:szCs w:val="20"/>
    </w:rPr>
  </w:style>
  <w:style w:type="paragraph" w:styleId="Tematkomentarza">
    <w:name w:val="annotation subject"/>
    <w:basedOn w:val="Tekstkomentarza"/>
    <w:next w:val="Tekstkomentarza"/>
    <w:link w:val="TematkomentarzaZnak"/>
    <w:uiPriority w:val="99"/>
    <w:semiHidden/>
    <w:unhideWhenUsed/>
    <w:rsid w:val="00AA714D"/>
    <w:rPr>
      <w:b/>
      <w:bCs/>
    </w:rPr>
  </w:style>
  <w:style w:type="character" w:customStyle="1" w:styleId="TematkomentarzaZnak">
    <w:name w:val="Temat komentarza Znak"/>
    <w:basedOn w:val="TekstkomentarzaZnak"/>
    <w:link w:val="Tematkomentarza"/>
    <w:uiPriority w:val="99"/>
    <w:semiHidden/>
    <w:rsid w:val="00AA71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56C8"/>
    <w:pPr>
      <w:ind w:left="720"/>
      <w:contextualSpacing/>
    </w:pPr>
  </w:style>
  <w:style w:type="paragraph" w:styleId="Tekstdymka">
    <w:name w:val="Balloon Text"/>
    <w:basedOn w:val="Normalny"/>
    <w:link w:val="TekstdymkaZnak"/>
    <w:uiPriority w:val="99"/>
    <w:semiHidden/>
    <w:unhideWhenUsed/>
    <w:rsid w:val="00292C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2CD3"/>
    <w:rPr>
      <w:rFonts w:ascii="Tahoma" w:hAnsi="Tahoma" w:cs="Tahoma"/>
      <w:sz w:val="16"/>
      <w:szCs w:val="16"/>
    </w:rPr>
  </w:style>
  <w:style w:type="paragraph" w:styleId="Nagwek">
    <w:name w:val="header"/>
    <w:basedOn w:val="Normalny"/>
    <w:link w:val="NagwekZnak"/>
    <w:uiPriority w:val="99"/>
    <w:unhideWhenUsed/>
    <w:rsid w:val="00AE74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416"/>
  </w:style>
  <w:style w:type="paragraph" w:styleId="Stopka">
    <w:name w:val="footer"/>
    <w:basedOn w:val="Normalny"/>
    <w:link w:val="StopkaZnak"/>
    <w:uiPriority w:val="99"/>
    <w:unhideWhenUsed/>
    <w:rsid w:val="00AE74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416"/>
  </w:style>
  <w:style w:type="paragraph" w:styleId="Tekstprzypisudolnego">
    <w:name w:val="footnote text"/>
    <w:basedOn w:val="Normalny"/>
    <w:link w:val="TekstprzypisudolnegoZnak"/>
    <w:unhideWhenUsed/>
    <w:rsid w:val="00114D00"/>
    <w:pPr>
      <w:spacing w:after="0" w:line="240" w:lineRule="auto"/>
    </w:pPr>
    <w:rPr>
      <w:sz w:val="20"/>
      <w:szCs w:val="20"/>
    </w:rPr>
  </w:style>
  <w:style w:type="character" w:customStyle="1" w:styleId="TekstprzypisudolnegoZnak">
    <w:name w:val="Tekst przypisu dolnego Znak"/>
    <w:basedOn w:val="Domylnaczcionkaakapitu"/>
    <w:link w:val="Tekstprzypisudolnego"/>
    <w:rsid w:val="00114D00"/>
    <w:rPr>
      <w:sz w:val="20"/>
      <w:szCs w:val="20"/>
    </w:rPr>
  </w:style>
  <w:style w:type="character" w:styleId="Odwoanieprzypisudolnego">
    <w:name w:val="footnote reference"/>
    <w:basedOn w:val="Domylnaczcionkaakapitu"/>
    <w:uiPriority w:val="99"/>
    <w:semiHidden/>
    <w:unhideWhenUsed/>
    <w:rsid w:val="00114D00"/>
    <w:rPr>
      <w:vertAlign w:val="superscript"/>
    </w:rPr>
  </w:style>
  <w:style w:type="paragraph" w:styleId="Tekstprzypisukocowego">
    <w:name w:val="endnote text"/>
    <w:basedOn w:val="Normalny"/>
    <w:link w:val="TekstprzypisukocowegoZnak"/>
    <w:uiPriority w:val="99"/>
    <w:semiHidden/>
    <w:unhideWhenUsed/>
    <w:rsid w:val="00F7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6AC1"/>
    <w:rPr>
      <w:sz w:val="20"/>
      <w:szCs w:val="20"/>
    </w:rPr>
  </w:style>
  <w:style w:type="character" w:styleId="Odwoanieprzypisukocowego">
    <w:name w:val="endnote reference"/>
    <w:basedOn w:val="Domylnaczcionkaakapitu"/>
    <w:uiPriority w:val="99"/>
    <w:semiHidden/>
    <w:unhideWhenUsed/>
    <w:rsid w:val="00F76AC1"/>
    <w:rPr>
      <w:vertAlign w:val="superscript"/>
    </w:rPr>
  </w:style>
  <w:style w:type="character" w:styleId="Hipercze">
    <w:name w:val="Hyperlink"/>
    <w:unhideWhenUsed/>
    <w:rsid w:val="00B879C1"/>
    <w:rPr>
      <w:color w:val="0000FF"/>
      <w:u w:val="single"/>
    </w:rPr>
  </w:style>
  <w:style w:type="character" w:styleId="Odwoaniedokomentarza">
    <w:name w:val="annotation reference"/>
    <w:basedOn w:val="Domylnaczcionkaakapitu"/>
    <w:uiPriority w:val="99"/>
    <w:semiHidden/>
    <w:unhideWhenUsed/>
    <w:rsid w:val="00AA714D"/>
    <w:rPr>
      <w:sz w:val="16"/>
      <w:szCs w:val="16"/>
    </w:rPr>
  </w:style>
  <w:style w:type="paragraph" w:styleId="Tekstkomentarza">
    <w:name w:val="annotation text"/>
    <w:basedOn w:val="Normalny"/>
    <w:link w:val="TekstkomentarzaZnak"/>
    <w:uiPriority w:val="99"/>
    <w:semiHidden/>
    <w:unhideWhenUsed/>
    <w:rsid w:val="00AA71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714D"/>
    <w:rPr>
      <w:sz w:val="20"/>
      <w:szCs w:val="20"/>
    </w:rPr>
  </w:style>
  <w:style w:type="paragraph" w:styleId="Tematkomentarza">
    <w:name w:val="annotation subject"/>
    <w:basedOn w:val="Tekstkomentarza"/>
    <w:next w:val="Tekstkomentarza"/>
    <w:link w:val="TematkomentarzaZnak"/>
    <w:uiPriority w:val="99"/>
    <w:semiHidden/>
    <w:unhideWhenUsed/>
    <w:rsid w:val="00AA714D"/>
    <w:rPr>
      <w:b/>
      <w:bCs/>
    </w:rPr>
  </w:style>
  <w:style w:type="character" w:customStyle="1" w:styleId="TematkomentarzaZnak">
    <w:name w:val="Temat komentarza Znak"/>
    <w:basedOn w:val="TekstkomentarzaZnak"/>
    <w:link w:val="Tematkomentarza"/>
    <w:uiPriority w:val="99"/>
    <w:semiHidden/>
    <w:rsid w:val="00AA7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BB56-8C73-4C50-81A8-1A90DAA6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3358</Words>
  <Characters>20151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wozniak</dc:creator>
  <cp:lastModifiedBy>wozniak</cp:lastModifiedBy>
  <cp:revision>3</cp:revision>
  <cp:lastPrinted>2016-06-30T12:17:00Z</cp:lastPrinted>
  <dcterms:created xsi:type="dcterms:W3CDTF">2016-06-30T12:10:00Z</dcterms:created>
  <dcterms:modified xsi:type="dcterms:W3CDTF">2016-06-30T12:17:00Z</dcterms:modified>
</cp:coreProperties>
</file>