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00" w:rsidRPr="00DF4D6A" w:rsidRDefault="00D34600" w:rsidP="00D34600">
      <w:pPr>
        <w:pStyle w:val="Bezodstpw"/>
        <w:rPr>
          <w:rFonts w:ascii="Times New Roman" w:hAnsi="Times New Roman"/>
          <w:b/>
          <w:color w:val="000000"/>
          <w:sz w:val="40"/>
          <w:szCs w:val="40"/>
        </w:rPr>
      </w:pPr>
    </w:p>
    <w:p w:rsidR="00D34600" w:rsidRPr="00DF4D6A" w:rsidRDefault="00FE01BA" w:rsidP="00D34600">
      <w:pPr>
        <w:pStyle w:val="Bezodstpw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F4D6A">
        <w:rPr>
          <w:rFonts w:ascii="Times New Roman" w:hAnsi="Times New Roman"/>
          <w:b/>
          <w:color w:val="000000"/>
          <w:sz w:val="40"/>
          <w:szCs w:val="40"/>
        </w:rPr>
        <w:t>KWESTIONARIUSZ</w:t>
      </w:r>
    </w:p>
    <w:p w:rsidR="00D34600" w:rsidRPr="00DF4D6A" w:rsidRDefault="00D34600" w:rsidP="00D34600">
      <w:pPr>
        <w:pStyle w:val="Bezodstpw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F4D6A">
        <w:rPr>
          <w:rFonts w:ascii="Times New Roman" w:hAnsi="Times New Roman"/>
          <w:b/>
          <w:color w:val="000000"/>
          <w:sz w:val="40"/>
          <w:szCs w:val="40"/>
        </w:rPr>
        <w:t>Dzieła osierocone i dzieła niedostępne w handlu</w:t>
      </w:r>
    </w:p>
    <w:p w:rsidR="00D34600" w:rsidRPr="00DF4D6A" w:rsidRDefault="00FE01BA" w:rsidP="00D34600">
      <w:pPr>
        <w:pStyle w:val="Bezodstpw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F4D6A">
        <w:rPr>
          <w:rFonts w:ascii="Times New Roman" w:hAnsi="Times New Roman"/>
          <w:b/>
          <w:color w:val="000000"/>
          <w:sz w:val="40"/>
          <w:szCs w:val="40"/>
        </w:rPr>
        <w:t>Pytania</w:t>
      </w:r>
      <w:r w:rsidR="00D34600" w:rsidRPr="00DF4D6A">
        <w:rPr>
          <w:rFonts w:ascii="Times New Roman" w:hAnsi="Times New Roman"/>
          <w:b/>
          <w:color w:val="000000"/>
          <w:sz w:val="40"/>
          <w:szCs w:val="40"/>
        </w:rPr>
        <w:t xml:space="preserve"> do dyskusji o wdrożeniu </w:t>
      </w:r>
      <w:r w:rsidRPr="00DF4D6A">
        <w:rPr>
          <w:rFonts w:ascii="Times New Roman" w:hAnsi="Times New Roman"/>
          <w:b/>
          <w:color w:val="000000"/>
          <w:sz w:val="40"/>
          <w:szCs w:val="40"/>
        </w:rPr>
        <w:t>przepisów</w:t>
      </w:r>
    </w:p>
    <w:p w:rsidR="00D34600" w:rsidRPr="00DF4D6A" w:rsidRDefault="00D34600" w:rsidP="00D34600">
      <w:pPr>
        <w:pStyle w:val="Bezodstpw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F4D6A">
        <w:rPr>
          <w:rFonts w:ascii="Times New Roman" w:hAnsi="Times New Roman"/>
          <w:b/>
          <w:color w:val="000000"/>
          <w:sz w:val="40"/>
          <w:szCs w:val="40"/>
        </w:rPr>
        <w:t xml:space="preserve">do polskiego systemu prawa </w:t>
      </w:r>
    </w:p>
    <w:p w:rsidR="00D34600" w:rsidRPr="00DF4D6A" w:rsidRDefault="00D34600" w:rsidP="00D34600">
      <w:pPr>
        <w:pStyle w:val="Bezodstpw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D34600" w:rsidRPr="00DF4D6A" w:rsidRDefault="00D34600" w:rsidP="00D34600">
      <w:pPr>
        <w:pStyle w:val="Bezodstpw"/>
        <w:rPr>
          <w:rFonts w:ascii="Times New Roman" w:hAnsi="Times New Roman"/>
          <w:b/>
          <w:color w:val="000000"/>
          <w:sz w:val="40"/>
          <w:szCs w:val="40"/>
        </w:rPr>
      </w:pPr>
    </w:p>
    <w:p w:rsidR="00D34600" w:rsidRPr="00DF4D6A" w:rsidRDefault="00994E93" w:rsidP="00D34600">
      <w:pPr>
        <w:pStyle w:val="Bezodstpw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F4D6A">
        <w:rPr>
          <w:rFonts w:ascii="Times New Roman" w:hAnsi="Times New Roman"/>
          <w:b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3829050" cy="4679950"/>
            <wp:effectExtent l="19050" t="0" r="0" b="0"/>
            <wp:docPr id="1" name="Obraz 1" descr="FP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A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6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00" w:rsidRPr="00DF4D6A" w:rsidRDefault="00D34600" w:rsidP="00D73D71">
      <w:pPr>
        <w:pStyle w:val="Bezodstpw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D34600" w:rsidRPr="00DF4D6A" w:rsidRDefault="00D34600" w:rsidP="00D34600">
      <w:pPr>
        <w:spacing w:line="360" w:lineRule="auto"/>
        <w:jc w:val="center"/>
        <w:rPr>
          <w:rFonts w:ascii="Times New Roman" w:hAnsi="Times New Roman"/>
          <w:i/>
          <w:iCs/>
          <w:shadow/>
        </w:rPr>
      </w:pPr>
      <w:r w:rsidRPr="00DF4D6A">
        <w:rPr>
          <w:rFonts w:ascii="Times New Roman" w:hAnsi="Times New Roman"/>
          <w:i/>
          <w:iCs/>
          <w:shadow/>
        </w:rPr>
        <w:t xml:space="preserve">Warszawa, </w:t>
      </w:r>
      <w:r w:rsidR="00FE01BA" w:rsidRPr="00DF4D6A">
        <w:rPr>
          <w:rFonts w:ascii="Times New Roman" w:hAnsi="Times New Roman"/>
          <w:i/>
          <w:iCs/>
          <w:shadow/>
        </w:rPr>
        <w:t>9 kwietnia</w:t>
      </w:r>
      <w:r w:rsidRPr="00DF4D6A">
        <w:rPr>
          <w:rFonts w:ascii="Times New Roman" w:hAnsi="Times New Roman"/>
          <w:i/>
          <w:iCs/>
          <w:shadow/>
        </w:rPr>
        <w:t xml:space="preserve"> 2013 r.</w:t>
      </w:r>
    </w:p>
    <w:p w:rsidR="00284590" w:rsidRPr="00DF4D6A" w:rsidRDefault="00D34600" w:rsidP="00D34600">
      <w:pPr>
        <w:spacing w:line="360" w:lineRule="auto"/>
        <w:rPr>
          <w:rFonts w:ascii="Times New Roman" w:hAnsi="Times New Roman"/>
          <w:b/>
        </w:rPr>
      </w:pPr>
      <w:r w:rsidRPr="00DF4D6A">
        <w:rPr>
          <w:rFonts w:ascii="Times New Roman" w:hAnsi="Times New Roman"/>
          <w:b/>
        </w:rPr>
        <w:lastRenderedPageBreak/>
        <w:tab/>
      </w:r>
      <w:r w:rsidRPr="00DF4D6A">
        <w:rPr>
          <w:rFonts w:ascii="Times New Roman" w:hAnsi="Times New Roman"/>
          <w:b/>
        </w:rPr>
        <w:tab/>
      </w:r>
    </w:p>
    <w:p w:rsidR="00385D24" w:rsidRPr="00DF4D6A" w:rsidRDefault="004120F7" w:rsidP="00290A0A">
      <w:pPr>
        <w:pStyle w:val="Cytatintensywny"/>
        <w:ind w:left="0"/>
        <w:rPr>
          <w:rFonts w:ascii="Times New Roman" w:hAnsi="Times New Roman"/>
          <w:sz w:val="26"/>
          <w:szCs w:val="26"/>
        </w:rPr>
      </w:pPr>
      <w:r w:rsidRPr="00DF4D6A">
        <w:rPr>
          <w:rStyle w:val="Pogrubienie"/>
          <w:rFonts w:ascii="Times New Roman" w:hAnsi="Times New Roman"/>
          <w:sz w:val="26"/>
          <w:szCs w:val="26"/>
        </w:rPr>
        <w:t xml:space="preserve">1. Dzieła osierocone </w:t>
      </w:r>
    </w:p>
    <w:p w:rsidR="00FE01BA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 xml:space="preserve">Jakie są główne problemy praktyczne, z punktu widzenia działalności Państwa organizacji </w:t>
      </w:r>
      <w:r w:rsidRPr="00DF4D6A">
        <w:rPr>
          <w:rFonts w:ascii="Times New Roman" w:hAnsi="Times New Roman"/>
        </w:rPr>
        <w:br/>
        <w:t>lub jej członków związane z problemem dzieł osieroconych?</w:t>
      </w:r>
    </w:p>
    <w:p w:rsidR="00CC59E0" w:rsidRPr="00DF4D6A" w:rsidRDefault="00F826EA" w:rsidP="003C2264">
      <w:pPr>
        <w:spacing w:after="0"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PKPP Lewiatan</w:t>
      </w:r>
      <w:r w:rsidR="00A2410F" w:rsidRPr="00DF4D6A">
        <w:rPr>
          <w:rFonts w:ascii="Times New Roman" w:hAnsi="Times New Roman"/>
          <w:color w:val="FF0000"/>
        </w:rPr>
        <w:t xml:space="preserve"> popiera wprowadzenie regulacji normującej sytuację „dzieł osieroconych”, bowiem</w:t>
      </w:r>
      <w:r w:rsidR="00CC59E0" w:rsidRPr="00DF4D6A">
        <w:rPr>
          <w:rFonts w:ascii="Times New Roman" w:hAnsi="Times New Roman"/>
          <w:color w:val="FF0000"/>
        </w:rPr>
        <w:t xml:space="preserve"> </w:t>
      </w:r>
      <w:r w:rsidR="00A2410F" w:rsidRPr="00DF4D6A">
        <w:rPr>
          <w:rFonts w:ascii="Times New Roman" w:hAnsi="Times New Roman"/>
          <w:color w:val="FF0000"/>
        </w:rPr>
        <w:t>i</w:t>
      </w:r>
      <w:r w:rsidR="00CC59E0" w:rsidRPr="00DF4D6A">
        <w:rPr>
          <w:rFonts w:ascii="Times New Roman" w:hAnsi="Times New Roman"/>
          <w:color w:val="FF0000"/>
        </w:rPr>
        <w:t xml:space="preserve">stniejący stan „zamrożenia” praw do utworów osieroconych i ich blokowanie stanowi </w:t>
      </w:r>
      <w:r w:rsidR="00A2410F" w:rsidRPr="00DF4D6A">
        <w:rPr>
          <w:rFonts w:ascii="Times New Roman" w:hAnsi="Times New Roman"/>
          <w:color w:val="FF0000"/>
        </w:rPr>
        <w:t>jedną z barier</w:t>
      </w:r>
      <w:r w:rsidR="00CC59E0" w:rsidRPr="00DF4D6A">
        <w:rPr>
          <w:rFonts w:ascii="Times New Roman" w:hAnsi="Times New Roman"/>
          <w:color w:val="FF0000"/>
        </w:rPr>
        <w:t xml:space="preserve"> budowy sp</w:t>
      </w:r>
      <w:r w:rsidR="00A2410F" w:rsidRPr="00DF4D6A">
        <w:rPr>
          <w:rFonts w:ascii="Times New Roman" w:hAnsi="Times New Roman"/>
          <w:color w:val="FF0000"/>
        </w:rPr>
        <w:t xml:space="preserve">ołeczeństwa opartego na wiedzy, gdyż </w:t>
      </w:r>
      <w:r w:rsidR="00CC59E0" w:rsidRPr="00DF4D6A">
        <w:rPr>
          <w:rFonts w:ascii="Times New Roman" w:hAnsi="Times New Roman"/>
          <w:color w:val="FF0000"/>
        </w:rPr>
        <w:t>po upływie</w:t>
      </w:r>
      <w:r w:rsidR="003C2264" w:rsidRPr="00DF4D6A">
        <w:rPr>
          <w:rFonts w:ascii="Times New Roman" w:hAnsi="Times New Roman"/>
          <w:color w:val="FF0000"/>
        </w:rPr>
        <w:t xml:space="preserve"> 70-</w:t>
      </w:r>
      <w:r w:rsidR="00CC59E0" w:rsidRPr="00DF4D6A">
        <w:rPr>
          <w:rFonts w:ascii="Times New Roman" w:hAnsi="Times New Roman"/>
          <w:color w:val="FF0000"/>
        </w:rPr>
        <w:t>letniego okresu ochrony praw autorskich wartość naukowa takich dzieł  jest znikoma.</w:t>
      </w:r>
    </w:p>
    <w:p w:rsidR="003C2264" w:rsidRPr="00DF4D6A" w:rsidRDefault="003C2264" w:rsidP="003C2264">
      <w:pPr>
        <w:spacing w:after="0" w:line="240" w:lineRule="auto"/>
        <w:ind w:left="709"/>
        <w:rPr>
          <w:rFonts w:ascii="Times New Roman" w:hAnsi="Times New Roman"/>
          <w:color w:val="FF0000"/>
        </w:rPr>
      </w:pPr>
    </w:p>
    <w:p w:rsidR="00CC59E0" w:rsidRPr="00DF4D6A" w:rsidRDefault="003C2264" w:rsidP="003C2264">
      <w:pPr>
        <w:spacing w:after="0"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U</w:t>
      </w:r>
      <w:r w:rsidR="00A2410F" w:rsidRPr="00DF4D6A">
        <w:rPr>
          <w:rFonts w:ascii="Times New Roman" w:hAnsi="Times New Roman"/>
          <w:color w:val="FF0000"/>
        </w:rPr>
        <w:t>ważamy</w:t>
      </w:r>
      <w:r w:rsidRPr="00DF4D6A">
        <w:rPr>
          <w:rFonts w:ascii="Times New Roman" w:hAnsi="Times New Roman"/>
          <w:color w:val="FF0000"/>
        </w:rPr>
        <w:t xml:space="preserve"> również</w:t>
      </w:r>
      <w:r w:rsidR="00A2410F" w:rsidRPr="00DF4D6A">
        <w:rPr>
          <w:rFonts w:ascii="Times New Roman" w:hAnsi="Times New Roman"/>
          <w:color w:val="FF0000"/>
        </w:rPr>
        <w:t>, że j</w:t>
      </w:r>
      <w:r w:rsidR="00CC59E0" w:rsidRPr="00DF4D6A">
        <w:rPr>
          <w:rFonts w:ascii="Times New Roman" w:hAnsi="Times New Roman"/>
          <w:color w:val="FF0000"/>
        </w:rPr>
        <w:t>edynie z udziałem sektora prywatnego możliwe jest optymalne i</w:t>
      </w:r>
      <w:r w:rsidRPr="00DF4D6A">
        <w:rPr>
          <w:rFonts w:ascii="Times New Roman" w:hAnsi="Times New Roman"/>
          <w:color w:val="FF0000"/>
        </w:rPr>
        <w:t xml:space="preserve"> </w:t>
      </w:r>
      <w:r w:rsidR="00CC59E0" w:rsidRPr="00DF4D6A">
        <w:rPr>
          <w:rFonts w:ascii="Times New Roman" w:hAnsi="Times New Roman"/>
          <w:color w:val="FF0000"/>
        </w:rPr>
        <w:t xml:space="preserve">szerokie wykorzystanie dorobku zawartego w utworach osieroconych, co jednocześnie będzie prowadziło do pełnej realizacji celów wynikających z Agendy Cyfrowej. </w:t>
      </w:r>
    </w:p>
    <w:p w:rsidR="003C2264" w:rsidRPr="00DF4D6A" w:rsidRDefault="003C2264" w:rsidP="003C2264">
      <w:pPr>
        <w:spacing w:after="0" w:line="240" w:lineRule="auto"/>
        <w:ind w:left="709"/>
        <w:outlineLvl w:val="0"/>
        <w:rPr>
          <w:rFonts w:ascii="Times New Roman" w:hAnsi="Times New Roman"/>
          <w:color w:val="FF0000"/>
        </w:rPr>
      </w:pPr>
    </w:p>
    <w:p w:rsidR="00A2410F" w:rsidRPr="00DF4D6A" w:rsidRDefault="000C0B23" w:rsidP="003C2264">
      <w:pPr>
        <w:spacing w:after="0" w:line="240" w:lineRule="auto"/>
        <w:ind w:left="709"/>
        <w:outlineLvl w:val="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Ponadto jak podkreśla Ministerstwo </w:t>
      </w:r>
      <w:r w:rsidR="001115BB" w:rsidRPr="00DF4D6A">
        <w:rPr>
          <w:rFonts w:ascii="Times New Roman" w:hAnsi="Times New Roman"/>
          <w:color w:val="FF0000"/>
        </w:rPr>
        <w:t>Administracji</w:t>
      </w:r>
      <w:r w:rsidRPr="00DF4D6A">
        <w:rPr>
          <w:rFonts w:ascii="Times New Roman" w:hAnsi="Times New Roman"/>
          <w:color w:val="FF0000"/>
        </w:rPr>
        <w:t xml:space="preserve"> i Cyfryzacji w </w:t>
      </w:r>
      <w:r w:rsidR="00A2410F" w:rsidRPr="00DF4D6A">
        <w:rPr>
          <w:rFonts w:ascii="Times New Roman" w:hAnsi="Times New Roman"/>
          <w:color w:val="FF0000"/>
        </w:rPr>
        <w:t>Policy P</w:t>
      </w:r>
      <w:r w:rsidRPr="00DF4D6A">
        <w:rPr>
          <w:rFonts w:ascii="Times New Roman" w:hAnsi="Times New Roman"/>
          <w:color w:val="FF0000"/>
        </w:rPr>
        <w:t xml:space="preserve">aper dotyczącym cyfrowego rozwoju Polski do 2020 r. </w:t>
      </w:r>
      <w:bookmarkStart w:id="0" w:name="_Toc330476515"/>
      <w:r w:rsidR="00A2410F" w:rsidRPr="00DF4D6A">
        <w:rPr>
          <w:rFonts w:ascii="Times New Roman" w:hAnsi="Times New Roman"/>
          <w:color w:val="FF0000"/>
        </w:rPr>
        <w:t xml:space="preserve">wzrost podaży usług i legalnych treści w sieciach szerokopasmowych stymuluje zarówno wykorzystanie </w:t>
      </w:r>
      <w:proofErr w:type="spellStart"/>
      <w:r w:rsidR="00A2410F" w:rsidRPr="00DF4D6A">
        <w:rPr>
          <w:rFonts w:ascii="Times New Roman" w:hAnsi="Times New Roman"/>
          <w:color w:val="FF0000"/>
        </w:rPr>
        <w:t>internetu</w:t>
      </w:r>
      <w:proofErr w:type="spellEnd"/>
      <w:r w:rsidR="00A2410F" w:rsidRPr="00DF4D6A">
        <w:rPr>
          <w:rFonts w:ascii="Times New Roman" w:hAnsi="Times New Roman"/>
          <w:color w:val="FF0000"/>
        </w:rPr>
        <w:t xml:space="preserve">, jak i wzrost kapitału ekonomicznego, społecznego i kreatywnego. Należy zatem stworzyć ofertę i warunki umożliwiające każdemu Polakowi wejście w cyfrowy świat, na </w:t>
      </w:r>
      <w:r w:rsidR="003C2264" w:rsidRPr="00DF4D6A">
        <w:rPr>
          <w:rFonts w:ascii="Times New Roman" w:hAnsi="Times New Roman"/>
          <w:color w:val="FF0000"/>
        </w:rPr>
        <w:t xml:space="preserve">który także składają się dzieła, utwory, co do których podmioty uprawnione nie są znane. </w:t>
      </w:r>
    </w:p>
    <w:p w:rsidR="003C2264" w:rsidRPr="00DF4D6A" w:rsidRDefault="003C2264" w:rsidP="003C2264">
      <w:pPr>
        <w:pStyle w:val="Default"/>
        <w:ind w:left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C2264" w:rsidRPr="00DF4D6A" w:rsidRDefault="003C2264" w:rsidP="003C2264">
      <w:pPr>
        <w:pStyle w:val="Default"/>
        <w:ind w:left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F4D6A">
        <w:rPr>
          <w:rFonts w:ascii="Times New Roman" w:hAnsi="Times New Roman" w:cs="Times New Roman"/>
          <w:color w:val="FF0000"/>
          <w:sz w:val="22"/>
          <w:szCs w:val="22"/>
        </w:rPr>
        <w:t>Konieczność wspierania swobodnego obiegu wiedzy i innowacji na rynku wewnętrznym stanowi także ważny element strategii „Europa 2020”.</w:t>
      </w:r>
    </w:p>
    <w:p w:rsidR="00F826EA" w:rsidRPr="00DF4D6A" w:rsidRDefault="00F826EA" w:rsidP="003C2264">
      <w:pPr>
        <w:pStyle w:val="Default"/>
        <w:ind w:left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826EA" w:rsidRPr="00DF4D6A" w:rsidRDefault="00F826EA" w:rsidP="00F826EA">
      <w:pPr>
        <w:pStyle w:val="Akapitzlist"/>
        <w:spacing w:line="240" w:lineRule="auto"/>
        <w:ind w:left="72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K</w:t>
      </w:r>
      <w:r w:rsidRPr="00DF4D6A">
        <w:rPr>
          <w:rFonts w:ascii="Times New Roman" w:hAnsi="Times New Roman"/>
          <w:color w:val="FF0000"/>
        </w:rPr>
        <w:t>orzystanie z dzieł osieroconych powinno zostać uregulowane w sposób kompleksowy, tak aby możliwe było korzystanie z dzieł osieroconych zarówno w celach niekomercyjnych, jak i komercyjnych.</w:t>
      </w:r>
    </w:p>
    <w:p w:rsidR="00F826EA" w:rsidRPr="00DF4D6A" w:rsidRDefault="00F826EA" w:rsidP="003C2264">
      <w:pPr>
        <w:pStyle w:val="Default"/>
        <w:ind w:left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A2410F" w:rsidRPr="00DF4D6A" w:rsidRDefault="00A2410F" w:rsidP="000C0B23">
      <w:pPr>
        <w:spacing w:after="0" w:line="240" w:lineRule="auto"/>
        <w:ind w:left="709"/>
        <w:outlineLvl w:val="0"/>
        <w:rPr>
          <w:rFonts w:ascii="Times New Roman" w:hAnsi="Times New Roman"/>
          <w:color w:val="FF0000"/>
          <w:sz w:val="24"/>
          <w:szCs w:val="24"/>
        </w:rPr>
      </w:pPr>
    </w:p>
    <w:bookmarkEnd w:id="0"/>
    <w:p w:rsidR="00FE01BA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 xml:space="preserve">Czy były przez Państwa podejmowane działania zmierzające do wyjaśnienia sytuacji prawnej utworów osieroconych? Czy ponosili Państwo koszty związane z digitalizacją i pozyskiwaniem utworów osieroconych? Czy takie działania były prowadzone z udziałem podmiotów trzecich np. na zasadzie partnerstwa publiczno-prywatnego? </w:t>
      </w:r>
    </w:p>
    <w:p w:rsidR="00A2410F" w:rsidRPr="00DF4D6A" w:rsidRDefault="00F826EA" w:rsidP="00A2410F">
      <w:pPr>
        <w:pStyle w:val="Akapitzlist"/>
        <w:spacing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PKPP Lewiatan</w:t>
      </w:r>
      <w:r w:rsidR="00A2410F" w:rsidRPr="00DF4D6A">
        <w:rPr>
          <w:rFonts w:ascii="Times New Roman" w:hAnsi="Times New Roman"/>
          <w:color w:val="FF0000"/>
        </w:rPr>
        <w:t xml:space="preserve"> nie podejmowa</w:t>
      </w:r>
      <w:r w:rsidR="00731EFB" w:rsidRPr="00DF4D6A">
        <w:rPr>
          <w:rFonts w:ascii="Times New Roman" w:hAnsi="Times New Roman"/>
          <w:color w:val="FF0000"/>
        </w:rPr>
        <w:t>ł dotychczas tego typu działań, chociaż w przyszłości tego nie wyklucza</w:t>
      </w:r>
      <w:r w:rsidR="00B72B56" w:rsidRPr="00DF4D6A">
        <w:rPr>
          <w:rFonts w:ascii="Times New Roman" w:hAnsi="Times New Roman"/>
          <w:color w:val="FF0000"/>
        </w:rPr>
        <w:t>.</w:t>
      </w:r>
    </w:p>
    <w:p w:rsidR="00FE01BA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 xml:space="preserve">Jakie rodzaje utworów powinny zostać objęte zakresem regulacji polskiej? Czy są kategorie utworów w </w:t>
      </w:r>
      <w:r w:rsidR="001115BB" w:rsidRPr="00DF4D6A">
        <w:rPr>
          <w:rFonts w:ascii="Times New Roman" w:hAnsi="Times New Roman"/>
        </w:rPr>
        <w:t>stosunku, do których</w:t>
      </w:r>
      <w:r w:rsidRPr="00DF4D6A">
        <w:rPr>
          <w:rFonts w:ascii="Times New Roman" w:hAnsi="Times New Roman"/>
        </w:rPr>
        <w:t xml:space="preserve"> przeprowadzenie postępowań poszukiwawczych byłoby utrudnione lub niemożliwe?</w:t>
      </w:r>
    </w:p>
    <w:p w:rsidR="00F335E5" w:rsidRPr="00DF4D6A" w:rsidRDefault="00903D61" w:rsidP="00903D61">
      <w:pPr>
        <w:pStyle w:val="Akapitzlist"/>
        <w:spacing w:after="0"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Zdaniem </w:t>
      </w:r>
      <w:r w:rsidR="00F826EA" w:rsidRPr="00DF4D6A">
        <w:rPr>
          <w:rFonts w:ascii="Times New Roman" w:hAnsi="Times New Roman"/>
          <w:color w:val="FF0000"/>
        </w:rPr>
        <w:t>PKPP Lewiatan</w:t>
      </w:r>
      <w:r w:rsidRPr="00DF4D6A">
        <w:rPr>
          <w:rFonts w:ascii="Times New Roman" w:hAnsi="Times New Roman"/>
          <w:color w:val="FF0000"/>
        </w:rPr>
        <w:t xml:space="preserve"> zakresem regulacji powinny zostać objęte wszystkie kategorie i rodzaje utworów i przedmiotów praw pokrewnych. Niezbędna jest spójna i jednolita regulacja, zapewniająca pewność i </w:t>
      </w:r>
      <w:r w:rsidR="001115BB" w:rsidRPr="00DF4D6A">
        <w:rPr>
          <w:rFonts w:ascii="Times New Roman" w:hAnsi="Times New Roman"/>
          <w:color w:val="FF0000"/>
        </w:rPr>
        <w:t>stabilność</w:t>
      </w:r>
      <w:r w:rsidRPr="00DF4D6A">
        <w:rPr>
          <w:rFonts w:ascii="Times New Roman" w:hAnsi="Times New Roman"/>
          <w:color w:val="FF0000"/>
        </w:rPr>
        <w:t xml:space="preserve"> prawa. </w:t>
      </w:r>
    </w:p>
    <w:p w:rsidR="00903D61" w:rsidRPr="00DF4D6A" w:rsidRDefault="00903D61" w:rsidP="00903D61">
      <w:pPr>
        <w:pStyle w:val="Akapitzlist"/>
        <w:spacing w:after="0" w:line="240" w:lineRule="auto"/>
        <w:ind w:left="709"/>
        <w:rPr>
          <w:rFonts w:ascii="Times New Roman" w:hAnsi="Times New Roman"/>
          <w:color w:val="FF0000"/>
        </w:rPr>
      </w:pPr>
    </w:p>
    <w:p w:rsidR="00CC59E0" w:rsidRPr="00DF4D6A" w:rsidRDefault="00CC59E0" w:rsidP="00903D61">
      <w:pPr>
        <w:spacing w:after="0"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W naszym przekonaniu należy </w:t>
      </w:r>
      <w:r w:rsidR="00903D61" w:rsidRPr="00DF4D6A">
        <w:rPr>
          <w:rFonts w:ascii="Times New Roman" w:hAnsi="Times New Roman"/>
          <w:color w:val="FF0000"/>
        </w:rPr>
        <w:t xml:space="preserve">również </w:t>
      </w:r>
      <w:r w:rsidRPr="00DF4D6A">
        <w:rPr>
          <w:rFonts w:ascii="Times New Roman" w:hAnsi="Times New Roman"/>
          <w:color w:val="FF0000"/>
        </w:rPr>
        <w:t>poważnie zastanowić się nad rozszerzeniem zakresu </w:t>
      </w:r>
      <w:r w:rsidR="00903D61" w:rsidRPr="00DF4D6A">
        <w:rPr>
          <w:rFonts w:ascii="Times New Roman" w:hAnsi="Times New Roman"/>
          <w:color w:val="FF0000"/>
        </w:rPr>
        <w:t>regulacji</w:t>
      </w:r>
      <w:r w:rsidRPr="00DF4D6A">
        <w:rPr>
          <w:rFonts w:ascii="Times New Roman" w:hAnsi="Times New Roman"/>
          <w:color w:val="FF0000"/>
        </w:rPr>
        <w:t xml:space="preserve"> na utwory, które nie zostały nigdy opublikowane ani nadane. Problematyczne i nieprecyzyjne wydaje się założenie </w:t>
      </w:r>
      <w:r w:rsidR="00903D61" w:rsidRPr="00DF4D6A">
        <w:rPr>
          <w:rFonts w:ascii="Times New Roman" w:hAnsi="Times New Roman"/>
          <w:color w:val="FF0000"/>
        </w:rPr>
        <w:t>dyrektywy</w:t>
      </w:r>
      <w:r w:rsidRPr="00DF4D6A">
        <w:rPr>
          <w:rFonts w:ascii="Times New Roman" w:hAnsi="Times New Roman"/>
          <w:color w:val="FF0000"/>
        </w:rPr>
        <w:t xml:space="preserve">, iż korzystanie z tego rodzaju utworów osieroconych ma być możliwe tylko wówczas, jeśli w sposób racjonalny można założyć, iż uprawnieni by się temu nie sprzeciwili. </w:t>
      </w:r>
    </w:p>
    <w:p w:rsidR="00F826EA" w:rsidRPr="00DF4D6A" w:rsidRDefault="00F826EA" w:rsidP="00F826EA">
      <w:pPr>
        <w:pStyle w:val="Akapitzlist"/>
        <w:spacing w:before="100" w:beforeAutospacing="1" w:after="100" w:afterAutospacing="1" w:line="225" w:lineRule="atLeast"/>
        <w:ind w:left="72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Niczym nieuzasadnione jest ograniczenie zakresu przedmiotowego Dyrektywy jedynie do niektórych rodzajów utworów i przedmiotów praw pokrewnych, enumeratywnie wymienionych w Dyrektywie, wśród których brakuje chociażby utworów plastycznych, fotografii czy też wideogramów. </w:t>
      </w:r>
    </w:p>
    <w:p w:rsidR="00F826EA" w:rsidRPr="00DF4D6A" w:rsidRDefault="00F826EA" w:rsidP="00F826EA">
      <w:pPr>
        <w:pStyle w:val="Akapitzlist"/>
        <w:spacing w:before="100" w:beforeAutospacing="1" w:after="100" w:afterAutospacing="1" w:line="225" w:lineRule="atLeast"/>
        <w:ind w:left="72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Na chwilę obecną </w:t>
      </w:r>
      <w:r w:rsidRPr="00DF4D6A">
        <w:rPr>
          <w:rFonts w:ascii="Times New Roman" w:hAnsi="Times New Roman"/>
          <w:color w:val="FF0000"/>
        </w:rPr>
        <w:t xml:space="preserve">PKPP </w:t>
      </w:r>
      <w:r w:rsidR="00DF4D6A" w:rsidRPr="00DF4D6A">
        <w:rPr>
          <w:rFonts w:ascii="Times New Roman" w:hAnsi="Times New Roman"/>
          <w:color w:val="FF0000"/>
        </w:rPr>
        <w:t>Lewiatan</w:t>
      </w:r>
      <w:r w:rsidRPr="00DF4D6A">
        <w:rPr>
          <w:rFonts w:ascii="Times New Roman" w:hAnsi="Times New Roman"/>
          <w:color w:val="FF0000"/>
        </w:rPr>
        <w:t xml:space="preserve"> nie ma wiedzy odnośnie tego czy są kategorie utworów w stosunku do których przeprowadzenie postępowań poszukiwawczych byłoby utrudnione lub niemożliwe. </w:t>
      </w:r>
    </w:p>
    <w:p w:rsidR="00F826EA" w:rsidRPr="00DF4D6A" w:rsidRDefault="00F826EA" w:rsidP="00903D61">
      <w:pPr>
        <w:spacing w:after="0" w:line="240" w:lineRule="auto"/>
        <w:ind w:left="709"/>
        <w:rPr>
          <w:rFonts w:ascii="Times New Roman" w:hAnsi="Times New Roman"/>
          <w:color w:val="FF0000"/>
        </w:rPr>
      </w:pPr>
    </w:p>
    <w:p w:rsidR="00903D61" w:rsidRPr="00DF4D6A" w:rsidRDefault="00903D61" w:rsidP="00903D61">
      <w:pPr>
        <w:spacing w:after="0" w:line="240" w:lineRule="auto"/>
        <w:ind w:left="709"/>
        <w:rPr>
          <w:rFonts w:ascii="Times New Roman" w:hAnsi="Times New Roman"/>
          <w:color w:val="FF0000"/>
          <w:sz w:val="20"/>
          <w:szCs w:val="20"/>
        </w:rPr>
      </w:pPr>
    </w:p>
    <w:p w:rsidR="00F335E5" w:rsidRPr="00DF4D6A" w:rsidRDefault="00FE01BA" w:rsidP="00F335E5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 xml:space="preserve">Na jakich polach eksploatacji powinno być umożliwione korzystanie z dzieł osieroconych? Czy katalog pól </w:t>
      </w:r>
      <w:r w:rsidR="001115BB" w:rsidRPr="00DF4D6A">
        <w:rPr>
          <w:rFonts w:ascii="Times New Roman" w:hAnsi="Times New Roman"/>
        </w:rPr>
        <w:t>eksploatacji, na których</w:t>
      </w:r>
      <w:r w:rsidRPr="00DF4D6A">
        <w:rPr>
          <w:rFonts w:ascii="Times New Roman" w:hAnsi="Times New Roman"/>
        </w:rPr>
        <w:t xml:space="preserve"> byłoby możliwe korzystanie z dzieł osieroconych powinien zostać zdefiniowany ustawowo?</w:t>
      </w:r>
      <w:r w:rsidR="00984297" w:rsidRPr="00DF4D6A">
        <w:rPr>
          <w:rFonts w:ascii="Times New Roman" w:hAnsi="Times New Roman"/>
        </w:rPr>
        <w:t xml:space="preserve"> </w:t>
      </w:r>
    </w:p>
    <w:p w:rsidR="00FE01BA" w:rsidRPr="00DF4D6A" w:rsidRDefault="00903D61" w:rsidP="00F335E5">
      <w:pPr>
        <w:pStyle w:val="Akapitzlist"/>
        <w:spacing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lastRenderedPageBreak/>
        <w:t xml:space="preserve">Korzystanie z dzieł osieroconych powinno zostać umożliwione na wszystkich polach eksploatacji, określonych w obecnej ustawie o prawie </w:t>
      </w:r>
      <w:r w:rsidR="001115BB" w:rsidRPr="00DF4D6A">
        <w:rPr>
          <w:rFonts w:ascii="Times New Roman" w:hAnsi="Times New Roman"/>
          <w:color w:val="FF0000"/>
        </w:rPr>
        <w:t>autorskim</w:t>
      </w:r>
      <w:r w:rsidRPr="00DF4D6A">
        <w:rPr>
          <w:rFonts w:ascii="Times New Roman" w:hAnsi="Times New Roman"/>
          <w:color w:val="FF0000"/>
        </w:rPr>
        <w:t xml:space="preserve"> i prawach pokrewnych. W tej sytuacji </w:t>
      </w:r>
      <w:r w:rsidR="001115BB" w:rsidRPr="00DF4D6A">
        <w:rPr>
          <w:rFonts w:ascii="Times New Roman" w:hAnsi="Times New Roman"/>
          <w:color w:val="FF0000"/>
        </w:rPr>
        <w:t>uważamy, że</w:t>
      </w:r>
      <w:r w:rsidRPr="00DF4D6A">
        <w:rPr>
          <w:rFonts w:ascii="Times New Roman" w:hAnsi="Times New Roman"/>
          <w:color w:val="FF0000"/>
        </w:rPr>
        <w:t xml:space="preserve"> nie </w:t>
      </w:r>
      <w:r w:rsidR="00E11372" w:rsidRPr="00DF4D6A">
        <w:rPr>
          <w:rFonts w:ascii="Times New Roman" w:hAnsi="Times New Roman"/>
          <w:color w:val="FF0000"/>
        </w:rPr>
        <w:t>ma potrzeby</w:t>
      </w:r>
      <w:r w:rsidRPr="00DF4D6A">
        <w:rPr>
          <w:rFonts w:ascii="Times New Roman" w:hAnsi="Times New Roman"/>
          <w:color w:val="FF0000"/>
        </w:rPr>
        <w:t xml:space="preserve"> definiować go na nowo lub w inny sposób. </w:t>
      </w:r>
    </w:p>
    <w:p w:rsidR="00F826EA" w:rsidRPr="00DF4D6A" w:rsidRDefault="00F826EA" w:rsidP="00F826EA">
      <w:pPr>
        <w:pStyle w:val="Akapitzlist"/>
        <w:spacing w:line="240" w:lineRule="auto"/>
        <w:ind w:left="72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W ten sposób podmiot, który chciałaby skorzystać z dzieł osieroconych miałby możliwość dokonywania wyboru, w zależności od swoich aktualnych potrzeb, na jakich polach eksploatacji chciałby np. odpłatnie korzystać z danego dzieła osieroconego. </w:t>
      </w:r>
    </w:p>
    <w:p w:rsidR="00F826EA" w:rsidRPr="00DF4D6A" w:rsidRDefault="00F826EA" w:rsidP="00F826EA">
      <w:pPr>
        <w:pStyle w:val="Akapitzlist"/>
        <w:spacing w:line="240" w:lineRule="auto"/>
        <w:ind w:left="72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Katalog pól eksploatacji na których byłoby możliwe korzystanie z dzieł osieroconych powinien zostać definiowany w ustawie, ale nie powinien to być katalog zamknięty, a jedynie przykładowy. Mając na uwadze intensywny rozwój techniki coraz częściej pojawiają się nowe pola eksploatacji. Korzystanie z dzieł osieroconych powinno być możliwe również na tych nowych polach eksploatacji.</w:t>
      </w:r>
    </w:p>
    <w:p w:rsidR="00F826EA" w:rsidRPr="00DF4D6A" w:rsidRDefault="00F826EA" w:rsidP="00F335E5">
      <w:pPr>
        <w:pStyle w:val="Akapitzlist"/>
        <w:spacing w:line="240" w:lineRule="auto"/>
        <w:ind w:left="709"/>
        <w:rPr>
          <w:rFonts w:ascii="Times New Roman" w:hAnsi="Times New Roman"/>
          <w:color w:val="FF0000"/>
        </w:rPr>
      </w:pPr>
    </w:p>
    <w:p w:rsidR="00F335E5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>Czy katalog podmiotów, które będą mogły korzystać z dzieł osieroconych w Polsce powinien być ograniczony jedynie do tych, które są wskazane w dyrektywie?</w:t>
      </w:r>
      <w:r w:rsidR="00984297" w:rsidRPr="00DF4D6A">
        <w:rPr>
          <w:rFonts w:ascii="Times New Roman" w:hAnsi="Times New Roman"/>
        </w:rPr>
        <w:t xml:space="preserve"> </w:t>
      </w:r>
      <w:r w:rsidRPr="00DF4D6A">
        <w:rPr>
          <w:rFonts w:ascii="Times New Roman" w:hAnsi="Times New Roman"/>
        </w:rPr>
        <w:t>Jakie podmioty powinny być brane pod uwagę przez polskiego ustawodawcę?</w:t>
      </w:r>
    </w:p>
    <w:p w:rsidR="00FE01BA" w:rsidRPr="00DF4D6A" w:rsidRDefault="00015675" w:rsidP="00F335E5">
      <w:pPr>
        <w:pStyle w:val="Akapitzlist"/>
        <w:spacing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W P</w:t>
      </w:r>
      <w:r w:rsidR="00CC59E0" w:rsidRPr="00DF4D6A">
        <w:rPr>
          <w:rFonts w:ascii="Times New Roman" w:hAnsi="Times New Roman"/>
          <w:color w:val="FF0000"/>
        </w:rPr>
        <w:t xml:space="preserve">olsce katalog podmiotów, które będą mogły korzystać z dzieł osieroconych nie powinien być ograniczony jedynie do tych wskazanych w Dyrektywie. </w:t>
      </w:r>
    </w:p>
    <w:p w:rsidR="00CC59E0" w:rsidRPr="00DF4D6A" w:rsidRDefault="00CC59E0" w:rsidP="00CC59E0">
      <w:pPr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Główną uwagą </w:t>
      </w:r>
      <w:r w:rsidR="00F826EA" w:rsidRPr="00DF4D6A">
        <w:rPr>
          <w:rFonts w:ascii="Times New Roman" w:hAnsi="Times New Roman"/>
          <w:color w:val="FF0000"/>
        </w:rPr>
        <w:t>PKPP Lewiatan</w:t>
      </w:r>
      <w:r w:rsidR="00015675" w:rsidRPr="00DF4D6A">
        <w:rPr>
          <w:rFonts w:ascii="Times New Roman" w:hAnsi="Times New Roman"/>
          <w:color w:val="FF0000"/>
        </w:rPr>
        <w:t>,</w:t>
      </w:r>
      <w:r w:rsidRPr="00DF4D6A">
        <w:rPr>
          <w:rFonts w:ascii="Times New Roman" w:hAnsi="Times New Roman"/>
          <w:color w:val="FF0000"/>
        </w:rPr>
        <w:t xml:space="preserve"> do toczącej się dyskusji o przedmiotowej regulacji</w:t>
      </w:r>
      <w:r w:rsidR="00015675" w:rsidRPr="00DF4D6A">
        <w:rPr>
          <w:rFonts w:ascii="Times New Roman" w:hAnsi="Times New Roman"/>
          <w:color w:val="FF0000"/>
        </w:rPr>
        <w:t>,</w:t>
      </w:r>
      <w:r w:rsidRPr="00DF4D6A">
        <w:rPr>
          <w:rFonts w:ascii="Times New Roman" w:hAnsi="Times New Roman"/>
          <w:color w:val="FF0000"/>
        </w:rPr>
        <w:t xml:space="preserve"> jest </w:t>
      </w:r>
      <w:r w:rsidR="00015675" w:rsidRPr="00DF4D6A">
        <w:rPr>
          <w:rFonts w:ascii="Times New Roman" w:hAnsi="Times New Roman"/>
          <w:color w:val="FF0000"/>
        </w:rPr>
        <w:t xml:space="preserve">wciąż </w:t>
      </w:r>
      <w:r w:rsidRPr="00DF4D6A">
        <w:rPr>
          <w:rFonts w:ascii="Times New Roman" w:hAnsi="Times New Roman"/>
          <w:color w:val="FF0000"/>
        </w:rPr>
        <w:t xml:space="preserve">brak właściwego i wyraźnego wskazania możliwości udziału i roli sektora prywatnego. Agenda </w:t>
      </w:r>
      <w:r w:rsidR="001115BB" w:rsidRPr="00DF4D6A">
        <w:rPr>
          <w:rFonts w:ascii="Times New Roman" w:hAnsi="Times New Roman"/>
          <w:color w:val="FF0000"/>
        </w:rPr>
        <w:t>Cyfrowa, jako</w:t>
      </w:r>
      <w:r w:rsidRPr="00DF4D6A">
        <w:rPr>
          <w:rFonts w:ascii="Times New Roman" w:hAnsi="Times New Roman"/>
          <w:color w:val="FF0000"/>
        </w:rPr>
        <w:t xml:space="preserve"> jeden z celów stawia sobie optymalizację wykorzystania technologii informacyjnych na rzecz zwiększenia wzrostu gospodarczego, tworzenia nowych miejsc pracy oraz poprawy jakości życia mieszkańców Europy w ramach strategii „Europa 2020”. Nie będzie jednak możliwie osiągnięcie celów Agendy oraz zbudowanie nowoczesnej gospodarki w oparciu wyłącznie o instytucje publiczne. </w:t>
      </w:r>
    </w:p>
    <w:p w:rsidR="00CC59E0" w:rsidRPr="00DF4D6A" w:rsidRDefault="00CC59E0" w:rsidP="00CC59E0">
      <w:pPr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Komisja Europejska w Zaleceniach z dnia 27 października 2011 r. w sprawie digitalizacji i udostępniania w Internecie dorobku kulturowego oraz w sprawie ochrony zasobów cyfrowych (2011/711/UE) kieruje następujące zalecenia do Państw członkowskich, które wydają się aktualne również wobec digitalizacji dzieł osieroconych, tj. propagowanie przez Państwa członkowskie partnerstwa pomiędzy instytucjami kulturalnymi, a sektorem prywatnym w celu tworzenia nowych sposobów finansowania digitalizacji dorobku kulturowego. </w:t>
      </w:r>
    </w:p>
    <w:p w:rsidR="00F826EA" w:rsidRPr="00DF4D6A" w:rsidRDefault="00F826EA" w:rsidP="00F826EA">
      <w:pPr>
        <w:pStyle w:val="Akapitzlist"/>
        <w:spacing w:before="100" w:beforeAutospacing="1" w:after="100" w:afterAutospacing="1" w:line="225" w:lineRule="atLeast"/>
        <w:ind w:left="720"/>
        <w:rPr>
          <w:rFonts w:ascii="Times New Roman" w:hAnsi="Times New Roman"/>
          <w:i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W ocenie </w:t>
      </w:r>
      <w:r w:rsidRPr="00DF4D6A">
        <w:rPr>
          <w:rFonts w:ascii="Times New Roman" w:hAnsi="Times New Roman"/>
          <w:color w:val="FF0000"/>
        </w:rPr>
        <w:t>PKPP Lewiatan</w:t>
      </w:r>
      <w:r w:rsidRPr="00DF4D6A">
        <w:rPr>
          <w:rFonts w:ascii="Times New Roman" w:hAnsi="Times New Roman"/>
          <w:color w:val="FF0000"/>
        </w:rPr>
        <w:t xml:space="preserve"> z dzieł osieroconych powinien mieć możliwość skorzystania każdy, a nie tylko wybrane i wskazane w Dyrektywie podmioty. Chodzi o to, aby również podmioty prowadzące działalność komercyjną, eksploatujące utwory i przedmioty praw pokrewnych, również miały możliwość korzystania, za stosownym wynagrodzeniem, z dzieł osieroconych. Zawężanie korzystania z dzieł osieroconych jedynie dla realizacji zadań publicznych przez podmioty do takich celów dedykowane i wymienione w Dyrektywie stanowi szkodliwe i niepotrzebne ograniczenie działalności gospodarczej krajów Unii Europejskiej w ramach wolnego rynku</w:t>
      </w:r>
      <w:r w:rsidRPr="00DF4D6A">
        <w:rPr>
          <w:rFonts w:ascii="Times New Roman" w:hAnsi="Times New Roman"/>
          <w:i/>
          <w:color w:val="FF0000"/>
        </w:rPr>
        <w:t>.</w:t>
      </w:r>
    </w:p>
    <w:p w:rsidR="00F335E5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>Czy przepisy polskie powinny ograniczyć się jedynie do umożliwienia korzystania z dzieł osieroconych w sposób niekomercyjny? Czy dopuszczenie przez ustawodawcę korzystania w sposób komercyjny z dzieł osieroconych powinno być w jakikolwiek sposób ograniczone?</w:t>
      </w:r>
      <w:r w:rsidR="00984297" w:rsidRPr="00DF4D6A">
        <w:rPr>
          <w:rFonts w:ascii="Times New Roman" w:hAnsi="Times New Roman"/>
        </w:rPr>
        <w:t xml:space="preserve"> </w:t>
      </w:r>
    </w:p>
    <w:p w:rsidR="00CC59E0" w:rsidRPr="00DF4D6A" w:rsidRDefault="00DE0BAB" w:rsidP="00DE0BAB">
      <w:pPr>
        <w:spacing w:after="0"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Polskie przepisy nie powinny ograniczyć się jedynie do umożliwienia korzystania z dzieł osieroconych w sposób niekomercyjny, ponieważ t</w:t>
      </w:r>
      <w:r w:rsidR="00CC59E0" w:rsidRPr="00DF4D6A">
        <w:rPr>
          <w:rFonts w:ascii="Times New Roman" w:hAnsi="Times New Roman"/>
          <w:color w:val="FF0000"/>
        </w:rPr>
        <w:t xml:space="preserve">ylko umożliwienie komercyjnej eksploatacji utworów pozwoli na ich szerokie udostępnienie i wykorzystanie, co przyczyni się do wzrostu </w:t>
      </w:r>
      <w:r w:rsidR="001115BB" w:rsidRPr="00DF4D6A">
        <w:rPr>
          <w:rFonts w:ascii="Times New Roman" w:hAnsi="Times New Roman"/>
          <w:color w:val="FF0000"/>
        </w:rPr>
        <w:t>gospodarczego</w:t>
      </w:r>
      <w:r w:rsidR="00CC59E0" w:rsidRPr="00DF4D6A">
        <w:rPr>
          <w:rFonts w:ascii="Times New Roman" w:hAnsi="Times New Roman"/>
          <w:color w:val="FF0000"/>
        </w:rPr>
        <w:t xml:space="preserve"> i erupcji przedsiębiorczości. W związku z </w:t>
      </w:r>
      <w:r w:rsidRPr="00DF4D6A">
        <w:rPr>
          <w:rFonts w:ascii="Times New Roman" w:hAnsi="Times New Roman"/>
          <w:color w:val="FF0000"/>
        </w:rPr>
        <w:t xml:space="preserve">tym </w:t>
      </w:r>
      <w:r w:rsidR="00CC59E0" w:rsidRPr="00DF4D6A">
        <w:rPr>
          <w:rFonts w:ascii="Times New Roman" w:hAnsi="Times New Roman"/>
          <w:color w:val="FF0000"/>
        </w:rPr>
        <w:t>proponujemy szerokie określenie kręgu podmiotów, które pozwoli ma pełną realizację celów przyjętych w Agendzie.</w:t>
      </w:r>
    </w:p>
    <w:p w:rsidR="00DE0BAB" w:rsidRPr="00DF4D6A" w:rsidRDefault="00DE0BAB" w:rsidP="00DE0BAB">
      <w:pPr>
        <w:spacing w:after="0" w:line="240" w:lineRule="auto"/>
        <w:ind w:left="709"/>
        <w:rPr>
          <w:rFonts w:ascii="Times New Roman" w:hAnsi="Times New Roman"/>
          <w:color w:val="FF0000"/>
        </w:rPr>
      </w:pPr>
    </w:p>
    <w:p w:rsidR="00DE0BAB" w:rsidRPr="00DF4D6A" w:rsidRDefault="00E66111" w:rsidP="00DE0BAB">
      <w:pPr>
        <w:spacing w:after="0"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Jeszcze raz podkreślamy, że jedynie z udziałem sektora prywatnego możliwe jest optymalne i szerokie wykorzystanie dorobku zawartego w utworach osieroconych, co jednocześnie będzie prowadziło do pełnej realizacji celów</w:t>
      </w:r>
      <w:r w:rsidR="00DE0BAB" w:rsidRPr="00DF4D6A">
        <w:rPr>
          <w:rFonts w:ascii="Times New Roman" w:hAnsi="Times New Roman"/>
          <w:color w:val="FF0000"/>
        </w:rPr>
        <w:t xml:space="preserve"> wynikających z Agendy Cyfrowej, jak również innych dokumentów strategicznych unijnych i </w:t>
      </w:r>
      <w:proofErr w:type="spellStart"/>
      <w:r w:rsidR="00DE0BAB" w:rsidRPr="00DF4D6A">
        <w:rPr>
          <w:rFonts w:ascii="Times New Roman" w:hAnsi="Times New Roman"/>
          <w:color w:val="FF0000"/>
        </w:rPr>
        <w:t>polskich</w:t>
      </w:r>
      <w:proofErr w:type="spellEnd"/>
      <w:r w:rsidR="00DE0BAB" w:rsidRPr="00DF4D6A">
        <w:rPr>
          <w:rFonts w:ascii="Times New Roman" w:hAnsi="Times New Roman"/>
          <w:color w:val="FF0000"/>
        </w:rPr>
        <w:t xml:space="preserve">. </w:t>
      </w:r>
    </w:p>
    <w:p w:rsidR="003F3520" w:rsidRPr="00DF4D6A" w:rsidRDefault="003F3520" w:rsidP="00DE0BAB">
      <w:pPr>
        <w:spacing w:after="0" w:line="240" w:lineRule="auto"/>
        <w:ind w:left="709"/>
        <w:rPr>
          <w:rFonts w:ascii="Times New Roman" w:hAnsi="Times New Roman"/>
          <w:color w:val="FF0000"/>
        </w:rPr>
      </w:pPr>
    </w:p>
    <w:p w:rsidR="00DE0BAB" w:rsidRPr="00DF4D6A" w:rsidRDefault="00DE0BAB" w:rsidP="00DE0BAB">
      <w:pPr>
        <w:spacing w:after="0" w:line="240" w:lineRule="auto"/>
        <w:ind w:left="709"/>
        <w:rPr>
          <w:rFonts w:ascii="Times New Roman" w:hAnsi="Times New Roman"/>
          <w:color w:val="FF0000"/>
        </w:rPr>
      </w:pPr>
    </w:p>
    <w:p w:rsidR="00F335E5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 xml:space="preserve">W zakresie wykraczającym poza dozwolony użytek przewidziany przepisami dyrektywy, jaka powinna być forma, w której udzielana byłaby zgoda na korzystanie z dzieł osieroconych? Który z przedstawionych modeli licencjonowania, rozszerzonych licencji zbiorowych czy licencji obligatoryjnych zdaniem Państwa jest bardziej dostosowany do warunków rynku polskiego? </w:t>
      </w:r>
    </w:p>
    <w:p w:rsidR="00FE01BA" w:rsidRPr="00DF4D6A" w:rsidRDefault="00DE0BAB" w:rsidP="00F335E5">
      <w:pPr>
        <w:pStyle w:val="Akapitzlist"/>
        <w:spacing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Naszym zdaniem właściwym modelem licencjonowania w odniesieniu do korzystania z dzieł osieroconych to licencje obligatoryjne.</w:t>
      </w:r>
      <w:r w:rsidR="00AF5F66" w:rsidRPr="00DF4D6A">
        <w:rPr>
          <w:rFonts w:ascii="Times New Roman" w:hAnsi="Times New Roman"/>
          <w:color w:val="FF0000"/>
        </w:rPr>
        <w:t xml:space="preserve"> Oczywiście należałoby jeszcze zastanowić się nad szczegółowymi warunkami takich licencji.</w:t>
      </w:r>
    </w:p>
    <w:p w:rsidR="003F3520" w:rsidRPr="00DF4D6A" w:rsidRDefault="003F3520" w:rsidP="003F3520">
      <w:pPr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Przykładowo k</w:t>
      </w:r>
      <w:r w:rsidRPr="00DF4D6A">
        <w:rPr>
          <w:rFonts w:ascii="Times New Roman" w:hAnsi="Times New Roman"/>
          <w:color w:val="FF0000"/>
        </w:rPr>
        <w:t>omercyjne wykorzystanie dzieł osieroconych mogłoby zostać oparte o system licencji obowiązkowych przy założeniu, że zostaną spełnione następujące warunki:</w:t>
      </w:r>
    </w:p>
    <w:p w:rsidR="003F3520" w:rsidRPr="00DF4D6A" w:rsidRDefault="003F3520" w:rsidP="003F3520">
      <w:pPr>
        <w:pStyle w:val="Akapitzlist"/>
        <w:numPr>
          <w:ilvl w:val="0"/>
          <w:numId w:val="20"/>
        </w:numPr>
        <w:spacing w:after="0" w:line="240" w:lineRule="auto"/>
        <w:ind w:left="1418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licencja wydawana byłaby przez podmiot publiczny (najlepiej taki, którego działalność  związana jest z kulturą np. Ministerstwo Kultury i Dziedzictwa Narodowego) po uprzednim przeprowadzeniu poszukiwań właścicieli praw w wyniku którego twórca/twórcy nie zostaliby odnalezieniu, a dziełu został nadany status dzieła osieroconego;</w:t>
      </w:r>
    </w:p>
    <w:p w:rsidR="003F3520" w:rsidRPr="00DF4D6A" w:rsidRDefault="003F3520" w:rsidP="003F3520">
      <w:pPr>
        <w:pStyle w:val="Akapitzlist"/>
        <w:numPr>
          <w:ilvl w:val="0"/>
          <w:numId w:val="20"/>
        </w:numPr>
        <w:spacing w:after="0" w:line="240" w:lineRule="auto"/>
        <w:ind w:left="1418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licencja byłaby odpłatna; korzystający miałby prawo do korzystania z dzieła osieroconego po uiszczeniu ryczałtowej opłaty licencyjnej, której sposób ustalania powinien zostać ustawowo uregulowany;</w:t>
      </w:r>
    </w:p>
    <w:p w:rsidR="003F3520" w:rsidRPr="00DF4D6A" w:rsidRDefault="003F3520" w:rsidP="003F3520">
      <w:pPr>
        <w:pStyle w:val="Akapitzlist"/>
        <w:numPr>
          <w:ilvl w:val="0"/>
          <w:numId w:val="20"/>
        </w:numPr>
        <w:spacing w:after="0" w:line="240" w:lineRule="auto"/>
        <w:ind w:left="1418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wobec faktu, że poszukiwania właścicieli praw powinny być dokonywane w dobrej wierze, na skutek otrzymania licencji korzystający z dzieła osieroconego powinien mieć możliwość korzystania z takiego dzieła z wyłączeniem ryzyka odpowiedzialności w przypadku odnalezienia twórcy;</w:t>
      </w:r>
    </w:p>
    <w:p w:rsidR="003F3520" w:rsidRPr="00DF4D6A" w:rsidRDefault="003F3520" w:rsidP="003F3520">
      <w:pPr>
        <w:pStyle w:val="Akapitzlist"/>
        <w:numPr>
          <w:ilvl w:val="0"/>
          <w:numId w:val="20"/>
        </w:numPr>
        <w:spacing w:after="0" w:line="240" w:lineRule="auto"/>
        <w:ind w:left="1418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licencja powinna mieć charakter licencji niewyłącznej i obejmować konkretne pola eksploatacji dostosowane do indywidualnych potrzeb korzystających z dzieł osieroconych i przewidywanego sposobu eksploatacji danych dzieł osieroconych.</w:t>
      </w:r>
    </w:p>
    <w:p w:rsidR="003F3520" w:rsidRPr="00DF4D6A" w:rsidRDefault="003F3520" w:rsidP="00F335E5">
      <w:pPr>
        <w:pStyle w:val="Akapitzlist"/>
        <w:spacing w:line="240" w:lineRule="auto"/>
        <w:ind w:left="709"/>
        <w:rPr>
          <w:rFonts w:ascii="Times New Roman" w:hAnsi="Times New Roman"/>
          <w:color w:val="FF0000"/>
        </w:rPr>
      </w:pPr>
    </w:p>
    <w:p w:rsidR="003F3520" w:rsidRPr="00DF4D6A" w:rsidRDefault="003F3520" w:rsidP="00F335E5">
      <w:pPr>
        <w:pStyle w:val="Akapitzlist"/>
        <w:spacing w:line="240" w:lineRule="auto"/>
        <w:ind w:left="709"/>
        <w:rPr>
          <w:rFonts w:ascii="Times New Roman" w:hAnsi="Times New Roman"/>
          <w:color w:val="FF0000"/>
        </w:rPr>
      </w:pPr>
    </w:p>
    <w:p w:rsidR="00A57FBC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 xml:space="preserve">W oparciu o jakie kryteria powinno być ustalane wynagrodzenie z tytułu korzystania </w:t>
      </w:r>
      <w:r w:rsidRPr="00DF4D6A">
        <w:rPr>
          <w:rFonts w:ascii="Times New Roman" w:hAnsi="Times New Roman"/>
        </w:rPr>
        <w:br/>
        <w:t xml:space="preserve">z dzieł osieroconych? Czy jego wysokość powinna być uzależniona od sposobu korzystania </w:t>
      </w:r>
      <w:r w:rsidRPr="00DF4D6A">
        <w:rPr>
          <w:rFonts w:ascii="Times New Roman" w:hAnsi="Times New Roman"/>
        </w:rPr>
        <w:br/>
        <w:t xml:space="preserve">z utworu? </w:t>
      </w:r>
      <w:r w:rsidR="00984297" w:rsidRPr="00DF4D6A">
        <w:rPr>
          <w:rFonts w:ascii="Times New Roman" w:hAnsi="Times New Roman"/>
          <w:b/>
        </w:rPr>
        <w:t xml:space="preserve">- </w:t>
      </w:r>
      <w:r w:rsidRPr="00DF4D6A">
        <w:rPr>
          <w:rFonts w:ascii="Times New Roman" w:hAnsi="Times New Roman"/>
        </w:rPr>
        <w:t xml:space="preserve">Jaka powinna być podstawa jego naliczania? Kto powinien nim administrować </w:t>
      </w:r>
      <w:r w:rsidRPr="00DF4D6A">
        <w:rPr>
          <w:rFonts w:ascii="Times New Roman" w:hAnsi="Times New Roman"/>
        </w:rPr>
        <w:br/>
        <w:t xml:space="preserve">i przez jaki czas powinno być „przechowywane? Jak powinno być wykorzystywane </w:t>
      </w:r>
      <w:r w:rsidRPr="00DF4D6A">
        <w:rPr>
          <w:rFonts w:ascii="Times New Roman" w:hAnsi="Times New Roman"/>
        </w:rPr>
        <w:br/>
        <w:t>w przypadku</w:t>
      </w:r>
      <w:r w:rsidR="00AE2DB1" w:rsidRPr="00DF4D6A">
        <w:rPr>
          <w:rFonts w:ascii="Times New Roman" w:hAnsi="Times New Roman"/>
        </w:rPr>
        <w:t>,</w:t>
      </w:r>
      <w:r w:rsidRPr="00DF4D6A">
        <w:rPr>
          <w:rFonts w:ascii="Times New Roman" w:hAnsi="Times New Roman"/>
        </w:rPr>
        <w:t xml:space="preserve"> kiedy autor nie zostanie odnaleziony?</w:t>
      </w:r>
      <w:r w:rsidR="00984297" w:rsidRPr="00DF4D6A">
        <w:rPr>
          <w:rFonts w:ascii="Times New Roman" w:hAnsi="Times New Roman"/>
        </w:rPr>
        <w:t xml:space="preserve"> </w:t>
      </w:r>
    </w:p>
    <w:p w:rsidR="003F3520" w:rsidRPr="00DF4D6A" w:rsidRDefault="003F3520" w:rsidP="003F3520">
      <w:pPr>
        <w:pStyle w:val="Akapitzlist"/>
        <w:spacing w:before="100" w:beforeAutospacing="1" w:after="100" w:afterAutospacing="1" w:line="225" w:lineRule="atLeast"/>
        <w:ind w:left="72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Sposób ustalenia wynagrodzenia z tytułu korzystania z dzieła osieroconego dla twórców i innych uprawnionych  powinien być określony w sposób konkretny  i dokładny. Przede wszystkim oparcie polskiej regulacji na zastosowanym w Dyrektywie pojęciu „stosownej rekompensaty” jest niewystarczające. </w:t>
      </w:r>
    </w:p>
    <w:p w:rsidR="003F3520" w:rsidRPr="00DF4D6A" w:rsidRDefault="003F3520" w:rsidP="003F3520">
      <w:pPr>
        <w:pStyle w:val="Akapitzlist"/>
        <w:spacing w:before="100" w:beforeAutospacing="1" w:after="100" w:afterAutospacing="1" w:line="225" w:lineRule="atLeast"/>
        <w:ind w:left="72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W przepisach </w:t>
      </w:r>
      <w:proofErr w:type="spellStart"/>
      <w:r w:rsidRPr="00DF4D6A">
        <w:rPr>
          <w:rFonts w:ascii="Times New Roman" w:hAnsi="Times New Roman"/>
          <w:color w:val="FF0000"/>
        </w:rPr>
        <w:t>polskich</w:t>
      </w:r>
      <w:proofErr w:type="spellEnd"/>
      <w:r w:rsidRPr="00DF4D6A">
        <w:rPr>
          <w:rFonts w:ascii="Times New Roman" w:hAnsi="Times New Roman"/>
          <w:color w:val="FF0000"/>
        </w:rPr>
        <w:t xml:space="preserve"> powinny zostać określone zasady ustalania tego wynagrodzenia, jego wysokości i okresu czasowego, za jaki uprawniony może domagać się przyznania takiego wynagrodzenia. Wynagrodzenie to powinno mieć charakter ryczałtowy. Punktem odniesienia przy określaniu wysokości wynagrodzenia powinno być rynkowe wynagrodzenie za korzystanie z danego rodzaju dzieła przez określony czas na danych polach eksploatacji. W przypadku, gdy korzystającym z dzieła osieroconego jest podmiot, który dokonał poszukiwań wynagrodzenie to powinno zostać pomniejszone o koszty poniesione na staranne poszukiwania. Ponadto rekompensata nie powinna być wypłacana za cały okres korzystania z dzieła osieroconego, a jedynie za pewien, maksymalnie 3-letni okres, poprzedzający wystąpienie z roszczeniem.</w:t>
      </w:r>
    </w:p>
    <w:p w:rsidR="003F3520" w:rsidRPr="00DF4D6A" w:rsidRDefault="003F3520" w:rsidP="003F3520">
      <w:pPr>
        <w:pStyle w:val="Akapitzlist"/>
        <w:spacing w:before="100" w:beforeAutospacing="1" w:after="100" w:afterAutospacing="1" w:line="225" w:lineRule="atLeast"/>
        <w:ind w:left="72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Wynagrodzenie za korzystanie z danego dzieła osieroconego powinno być wpłacane przez korzystających na oddzielny fundusz administrowany przez podmiot publiczny, którego działalność związana jest kulturą np. Ministerstwo Kultury i Dziedzictwa Narodowego. Okres przechowywania tego wynagrodzenia nie powinien być zbyt długi z uwagi na spadek siły nabywczej pieniądza z upływem lat (powinno być to najwyżej kilka lat). W przypadku gdyby twórca dzieła się nie odnalazł środki zgromadzone w ramach zapłaty wynagrodzenia za korzystania z dzieł osieroconych powinny zostać przeznaczone na jakiś cel publiczny, najlepiej związany z kulturą.</w:t>
      </w:r>
    </w:p>
    <w:p w:rsidR="003F3520" w:rsidRPr="00DF4D6A" w:rsidRDefault="003F3520" w:rsidP="00A57FBC">
      <w:pPr>
        <w:pStyle w:val="Akapitzlist"/>
        <w:spacing w:line="240" w:lineRule="auto"/>
        <w:ind w:left="709"/>
        <w:rPr>
          <w:rFonts w:ascii="Times New Roman" w:hAnsi="Times New Roman"/>
          <w:bCs/>
          <w:color w:val="FF0000"/>
        </w:rPr>
      </w:pPr>
    </w:p>
    <w:p w:rsidR="00A57FBC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</w:rPr>
      </w:pPr>
      <w:r w:rsidRPr="00DF4D6A">
        <w:rPr>
          <w:rFonts w:ascii="Times New Roman" w:hAnsi="Times New Roman"/>
        </w:rPr>
        <w:t xml:space="preserve">Czy uzasadnione jest, aby środki finansowe, będące wynagrodzeniem z tytułu korzystania </w:t>
      </w:r>
      <w:r w:rsidRPr="00DF4D6A">
        <w:rPr>
          <w:rFonts w:ascii="Times New Roman" w:hAnsi="Times New Roman"/>
        </w:rPr>
        <w:br/>
        <w:t xml:space="preserve">z dzieł osieroconych w </w:t>
      </w:r>
      <w:r w:rsidR="001115BB" w:rsidRPr="00DF4D6A">
        <w:rPr>
          <w:rFonts w:ascii="Times New Roman" w:hAnsi="Times New Roman"/>
        </w:rPr>
        <w:t>stosunku, do których</w:t>
      </w:r>
      <w:r w:rsidRPr="00DF4D6A">
        <w:rPr>
          <w:rFonts w:ascii="Times New Roman" w:hAnsi="Times New Roman"/>
        </w:rPr>
        <w:t xml:space="preserve"> uprawniony nie został odnaleziony były przekazywane po określonym w ustawie okresie karencji (np. 1 rok) na jeden z funduszy, którymi dysponuje Minister Kultury i Dziedzictwa Narodowego? </w:t>
      </w:r>
      <w:r w:rsidR="00AE2DB1" w:rsidRPr="00DF4D6A">
        <w:rPr>
          <w:rFonts w:ascii="Times New Roman" w:hAnsi="Times New Roman"/>
        </w:rPr>
        <w:t>Jeśli tak, w jakim zakresie ?</w:t>
      </w:r>
      <w:r w:rsidR="00984297" w:rsidRPr="00DF4D6A">
        <w:rPr>
          <w:rFonts w:ascii="Times New Roman" w:hAnsi="Times New Roman"/>
        </w:rPr>
        <w:t xml:space="preserve"> </w:t>
      </w:r>
    </w:p>
    <w:p w:rsidR="00FE01BA" w:rsidRPr="00DF4D6A" w:rsidRDefault="00FE45ED" w:rsidP="00A57FBC">
      <w:pPr>
        <w:pStyle w:val="Akapitzlist"/>
        <w:spacing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Tak, proponujemy</w:t>
      </w:r>
      <w:r w:rsidR="00E11372" w:rsidRPr="00DF4D6A">
        <w:rPr>
          <w:rFonts w:ascii="Times New Roman" w:hAnsi="Times New Roman"/>
          <w:color w:val="FF0000"/>
        </w:rPr>
        <w:t>,</w:t>
      </w:r>
      <w:r w:rsidRPr="00DF4D6A">
        <w:rPr>
          <w:rFonts w:ascii="Times New Roman" w:hAnsi="Times New Roman"/>
          <w:color w:val="FF0000"/>
        </w:rPr>
        <w:t xml:space="preserve"> aby był to Fundusz Promocji Twórczości, o którym mowa w art. 111 i nast. ustawy o prawach autorskich i prawach pokrewnych.</w:t>
      </w:r>
    </w:p>
    <w:p w:rsidR="00FE01BA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>Jak powinien wyglądać proces przeprowadzania starannych poszukiwań podmiotów uprawnionych? Kto powinien takie poszukiwania prowadzić? Jaka powinna być odpowiedzialność za „niestaranne” poszukiwania w wyniku których dzieło błędnie uzyskało status osieroconego i kto miałby ją ponosić?</w:t>
      </w:r>
    </w:p>
    <w:p w:rsidR="00BE1D29" w:rsidRPr="00DF4D6A" w:rsidRDefault="007A71BE" w:rsidP="00BE1D29">
      <w:pPr>
        <w:spacing w:after="0"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Mechanizmy na szczeblu krajowym powinny być powiązane z systemem „starannych poszukiwań” wprowadzanym </w:t>
      </w:r>
      <w:r w:rsidR="00BE1D29" w:rsidRPr="00DF4D6A">
        <w:rPr>
          <w:rFonts w:ascii="Times New Roman" w:hAnsi="Times New Roman"/>
          <w:color w:val="FF0000"/>
        </w:rPr>
        <w:t>w dyrektywie</w:t>
      </w:r>
      <w:r w:rsidRPr="00DF4D6A">
        <w:rPr>
          <w:rFonts w:ascii="Times New Roman" w:hAnsi="Times New Roman"/>
          <w:color w:val="FF0000"/>
        </w:rPr>
        <w:t xml:space="preserve">. </w:t>
      </w:r>
      <w:r w:rsidR="00BE1D29" w:rsidRPr="00DF4D6A">
        <w:rPr>
          <w:rFonts w:ascii="Times New Roman" w:hAnsi="Times New Roman"/>
          <w:color w:val="FF0000"/>
        </w:rPr>
        <w:t xml:space="preserve">Warto, aby odnieść proces przeprowadzania starannych poszukiwań do pojęcia „dobrej wiary”. </w:t>
      </w:r>
    </w:p>
    <w:p w:rsidR="00F16E32" w:rsidRPr="00DF4D6A" w:rsidRDefault="00F16E32" w:rsidP="00F16E32">
      <w:pPr>
        <w:spacing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Mając na uwadze, że Dyrektywa zakłada przeprowadzanie starannych poszukiwań przez podmioty mające korzystać z dzieł, którym zostanie przyznany status dzieła osieroconego, nie pozostawia to państwom członkowskim pola manewru, co do tego kto ma te poszukiwania przeprowadzać. Staranne poszukiwania powinny być dokonane przed rozpoczęciem korzystania z dzieła osieroconego i powinny być dokonywane w dobrej wierze. </w:t>
      </w:r>
    </w:p>
    <w:p w:rsidR="00F16E32" w:rsidRPr="00DF4D6A" w:rsidRDefault="00F16E32" w:rsidP="00F16E32">
      <w:pPr>
        <w:pStyle w:val="Akapitzlist"/>
        <w:spacing w:line="240" w:lineRule="auto"/>
        <w:ind w:left="72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Ewentualna odpowiedzialność za „niestaranne” poszukiwania powinna ciążyć na podmiocie, który te staranne poszukiwania przeprowadzał i na podstawie którego błędnych informacji dzieło zostało błędnie uznane za dzieło osierocone, jednakże tylko po  uprzednim wykazaniu, że podmiot te prowadził poszukiwania w złej wierze. Ciężar dowodu powinien ciążyć na osobie, która podmiotowi, który przeprowadził poszukiwania zarzuca, że były one dokonane w złej wierze. Na pewno takiej odpowiedzialności nie powinny ponosić podmioty korzystające z dzieł osieroconych, które informację o statusie dzieła powzięły na podstawie umieszczenia dzieła w ogólnodostępnym rejestrze dzieł osieroconych. Podmiot odpowiedzialny za dokonanie poszukiwań w złej wierze zobowiązany byłby do pokrycia odnalezionemu twórcy dzieła szkody na zasadach ogólnych albo poprzez zapłatę sumy pieniężnej stanowiącej odpowiednią wielokrotność (np. dwukrotność) wynagrodzenia z tytułu korzystania z dzieła osieroconego zanim straciło ono ten status. </w:t>
      </w:r>
    </w:p>
    <w:p w:rsidR="00F16E32" w:rsidRPr="00DF4D6A" w:rsidRDefault="00F16E32" w:rsidP="00BE1D29">
      <w:pPr>
        <w:spacing w:after="0" w:line="240" w:lineRule="auto"/>
        <w:ind w:left="709"/>
        <w:rPr>
          <w:rFonts w:ascii="Times New Roman" w:hAnsi="Times New Roman"/>
          <w:color w:val="FF0000"/>
        </w:rPr>
      </w:pPr>
    </w:p>
    <w:p w:rsidR="00BE1D29" w:rsidRPr="00DF4D6A" w:rsidRDefault="00BE1D29" w:rsidP="00BE1D29">
      <w:pPr>
        <w:spacing w:after="0" w:line="240" w:lineRule="auto"/>
        <w:ind w:left="709"/>
        <w:rPr>
          <w:rFonts w:ascii="Times New Roman" w:hAnsi="Times New Roman"/>
          <w:color w:val="FF0000"/>
        </w:rPr>
      </w:pPr>
    </w:p>
    <w:p w:rsidR="00A57FBC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 xml:space="preserve">W przypadku odnalezienia uprawnionych do dzieł mających status osierocony, jak powinna zostać uregulowana kwestia udzielonych wcześniej licencji? Czy licencje te powinny automatycznie wygasać? Czy odnaleziony uprawniony powinien zaakceptować fakt, </w:t>
      </w:r>
      <w:r w:rsidRPr="00DF4D6A">
        <w:rPr>
          <w:rFonts w:ascii="Times New Roman" w:hAnsi="Times New Roman"/>
        </w:rPr>
        <w:br/>
        <w:t xml:space="preserve">że udzielone licencje wygasną dopiero po upływie okresu na który zostały zawarte (autor uzyskiwałby stosowne wynagrodzenie, ale nie mógłby np. wycofać utworu z eksploatacji)? </w:t>
      </w:r>
      <w:r w:rsidR="00984297" w:rsidRPr="00DF4D6A">
        <w:rPr>
          <w:rFonts w:ascii="Times New Roman" w:hAnsi="Times New Roman"/>
        </w:rPr>
        <w:t xml:space="preserve"> </w:t>
      </w:r>
      <w:r w:rsidRPr="00DF4D6A">
        <w:rPr>
          <w:rFonts w:ascii="Times New Roman" w:hAnsi="Times New Roman"/>
        </w:rPr>
        <w:t>Do kogo uprawniony mógłby zwrócić się po stosowną rekompensatę?</w:t>
      </w:r>
      <w:r w:rsidR="00A57FBC" w:rsidRPr="00DF4D6A">
        <w:rPr>
          <w:rFonts w:ascii="Times New Roman" w:hAnsi="Times New Roman"/>
          <w:b/>
        </w:rPr>
        <w:t xml:space="preserve"> </w:t>
      </w:r>
    </w:p>
    <w:p w:rsidR="00FE01BA" w:rsidRPr="00DF4D6A" w:rsidRDefault="00BE1D29" w:rsidP="00BE1D29">
      <w:pPr>
        <w:pStyle w:val="Akapitzlist"/>
        <w:spacing w:after="0"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Naszym zdaniem przyjęte rozwiązanie powinno przewidywać</w:t>
      </w:r>
      <w:r w:rsidR="00E11372" w:rsidRPr="00DF4D6A">
        <w:rPr>
          <w:rFonts w:ascii="Times New Roman" w:hAnsi="Times New Roman"/>
          <w:color w:val="FF0000"/>
        </w:rPr>
        <w:t>,</w:t>
      </w:r>
      <w:r w:rsidRPr="00DF4D6A">
        <w:rPr>
          <w:rFonts w:ascii="Times New Roman" w:hAnsi="Times New Roman"/>
          <w:color w:val="FF0000"/>
        </w:rPr>
        <w:t xml:space="preserve"> iż </w:t>
      </w:r>
      <w:r w:rsidR="00E66111" w:rsidRPr="00DF4D6A">
        <w:rPr>
          <w:rFonts w:ascii="Times New Roman" w:hAnsi="Times New Roman"/>
          <w:color w:val="FF0000"/>
        </w:rPr>
        <w:t>odnaleziony uprawniony akcept</w:t>
      </w:r>
      <w:r w:rsidRPr="00DF4D6A">
        <w:rPr>
          <w:rFonts w:ascii="Times New Roman" w:hAnsi="Times New Roman"/>
          <w:color w:val="FF0000"/>
        </w:rPr>
        <w:t xml:space="preserve">uje </w:t>
      </w:r>
      <w:r w:rsidR="00E66111" w:rsidRPr="00DF4D6A">
        <w:rPr>
          <w:rFonts w:ascii="Times New Roman" w:hAnsi="Times New Roman"/>
          <w:color w:val="FF0000"/>
        </w:rPr>
        <w:t xml:space="preserve">fakt, że udzielone licencje wygasną dopiero po upływie </w:t>
      </w:r>
      <w:r w:rsidR="001115BB" w:rsidRPr="00DF4D6A">
        <w:rPr>
          <w:rFonts w:ascii="Times New Roman" w:hAnsi="Times New Roman"/>
          <w:color w:val="FF0000"/>
        </w:rPr>
        <w:t>okresu, na który</w:t>
      </w:r>
      <w:r w:rsidR="00E66111" w:rsidRPr="00DF4D6A">
        <w:rPr>
          <w:rFonts w:ascii="Times New Roman" w:hAnsi="Times New Roman"/>
          <w:color w:val="FF0000"/>
        </w:rPr>
        <w:t xml:space="preserve"> zostały zawarte</w:t>
      </w:r>
      <w:r w:rsidRPr="00DF4D6A">
        <w:rPr>
          <w:rFonts w:ascii="Times New Roman" w:hAnsi="Times New Roman"/>
          <w:color w:val="FF0000"/>
        </w:rPr>
        <w:t xml:space="preserve">. Tylko taki sposób gwarantuje </w:t>
      </w:r>
      <w:r w:rsidR="001115BB" w:rsidRPr="00DF4D6A">
        <w:rPr>
          <w:rFonts w:ascii="Times New Roman" w:hAnsi="Times New Roman"/>
          <w:color w:val="FF0000"/>
        </w:rPr>
        <w:t>stabilność</w:t>
      </w:r>
      <w:r w:rsidRPr="00DF4D6A">
        <w:rPr>
          <w:rFonts w:ascii="Times New Roman" w:hAnsi="Times New Roman"/>
          <w:color w:val="FF0000"/>
        </w:rPr>
        <w:t xml:space="preserve"> prawa i działalności opierającej się na korzystaniu z dzieł osieroconych. </w:t>
      </w:r>
    </w:p>
    <w:p w:rsidR="00BE1D29" w:rsidRPr="00DF4D6A" w:rsidRDefault="00BE1D29" w:rsidP="00BE1D29">
      <w:pPr>
        <w:pStyle w:val="Akapitzlist"/>
        <w:spacing w:after="0" w:line="240" w:lineRule="auto"/>
        <w:ind w:left="709"/>
        <w:rPr>
          <w:rFonts w:ascii="Times New Roman" w:hAnsi="Times New Roman"/>
          <w:color w:val="FF0000"/>
        </w:rPr>
      </w:pPr>
    </w:p>
    <w:p w:rsidR="003238B4" w:rsidRPr="00DF4D6A" w:rsidRDefault="00BE1D29" w:rsidP="00BE1D29">
      <w:pPr>
        <w:spacing w:after="0"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N</w:t>
      </w:r>
      <w:r w:rsidR="003238B4" w:rsidRPr="00DF4D6A">
        <w:rPr>
          <w:rFonts w:ascii="Times New Roman" w:hAnsi="Times New Roman"/>
          <w:color w:val="FF0000"/>
        </w:rPr>
        <w:t xml:space="preserve">atomiast dochodzenie roszczeń powinno być ograniczone jedynie do okresu maksymalnie 3 lat poprzedzających wystąpienie z takim roszczeniem, a nie za pełny okres, w którym utwór uznawany był za osierocony. </w:t>
      </w:r>
    </w:p>
    <w:p w:rsidR="00F16E32" w:rsidRPr="00DF4D6A" w:rsidRDefault="00F16E32" w:rsidP="00BE1D29">
      <w:pPr>
        <w:spacing w:after="0" w:line="240" w:lineRule="auto"/>
        <w:ind w:left="709"/>
        <w:rPr>
          <w:rFonts w:ascii="Times New Roman" w:hAnsi="Times New Roman"/>
          <w:color w:val="FF0000"/>
        </w:rPr>
      </w:pPr>
    </w:p>
    <w:p w:rsidR="00F16E32" w:rsidRPr="00DF4D6A" w:rsidRDefault="00F16E32" w:rsidP="00F16E32">
      <w:pPr>
        <w:pStyle w:val="Akapitzlist"/>
        <w:spacing w:line="240" w:lineRule="auto"/>
        <w:ind w:left="72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Odnaleziony twórca dzieła osieroconego powinien zwrócić się o wypłatę wynagrodzenia do podmiotu administrującego funduszem, na który korzystający z dzieł osieroconych wpłacają wynagrodzenie z tytułu eksploatacji dzieł osieroconych. </w:t>
      </w:r>
    </w:p>
    <w:p w:rsidR="00F16E32" w:rsidRPr="00DF4D6A" w:rsidRDefault="00F16E32" w:rsidP="00BE1D29">
      <w:pPr>
        <w:spacing w:after="0" w:line="240" w:lineRule="auto"/>
        <w:ind w:left="709"/>
        <w:rPr>
          <w:rFonts w:ascii="Times New Roman" w:hAnsi="Times New Roman"/>
          <w:color w:val="FF0000"/>
        </w:rPr>
      </w:pPr>
    </w:p>
    <w:p w:rsidR="00BE1D29" w:rsidRPr="00DF4D6A" w:rsidRDefault="00BE1D29" w:rsidP="00BE1D29">
      <w:pPr>
        <w:spacing w:after="0" w:line="240" w:lineRule="auto"/>
        <w:ind w:left="709"/>
        <w:rPr>
          <w:rFonts w:ascii="Times New Roman" w:hAnsi="Times New Roman"/>
          <w:color w:val="FF0000"/>
        </w:rPr>
      </w:pPr>
    </w:p>
    <w:p w:rsidR="00A57FBC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 xml:space="preserve">Czy poszukiwania powinny być ograniczone tylko do </w:t>
      </w:r>
      <w:proofErr w:type="spellStart"/>
      <w:r w:rsidRPr="00DF4D6A">
        <w:rPr>
          <w:rFonts w:ascii="Times New Roman" w:hAnsi="Times New Roman"/>
        </w:rPr>
        <w:t>polskich</w:t>
      </w:r>
      <w:proofErr w:type="spellEnd"/>
      <w:r w:rsidRPr="00DF4D6A">
        <w:rPr>
          <w:rFonts w:ascii="Times New Roman" w:hAnsi="Times New Roman"/>
        </w:rPr>
        <w:t xml:space="preserve"> źródeł, czy powinny być prowadzone również z uwzględnieniem międzynarodowych baz danych? </w:t>
      </w:r>
    </w:p>
    <w:p w:rsidR="00FE01BA" w:rsidRPr="00DF4D6A" w:rsidRDefault="00BE1D29" w:rsidP="00A57FBC">
      <w:pPr>
        <w:pStyle w:val="Akapitzlist"/>
        <w:spacing w:line="240" w:lineRule="auto"/>
        <w:ind w:left="709"/>
        <w:rPr>
          <w:rFonts w:ascii="Times New Roman" w:hAnsi="Times New Roman"/>
          <w:b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Uważamy, że poszukiwania powinny być najlepiej ograniczone tylko do </w:t>
      </w:r>
      <w:proofErr w:type="spellStart"/>
      <w:r w:rsidRPr="00DF4D6A">
        <w:rPr>
          <w:rFonts w:ascii="Times New Roman" w:hAnsi="Times New Roman"/>
          <w:color w:val="FF0000"/>
        </w:rPr>
        <w:t>polskich</w:t>
      </w:r>
      <w:proofErr w:type="spellEnd"/>
      <w:r w:rsidRPr="00DF4D6A">
        <w:rPr>
          <w:rFonts w:ascii="Times New Roman" w:hAnsi="Times New Roman"/>
          <w:color w:val="FF0000"/>
        </w:rPr>
        <w:t xml:space="preserve"> źródeł</w:t>
      </w:r>
      <w:r w:rsidR="007A71BE" w:rsidRPr="00DF4D6A">
        <w:rPr>
          <w:rFonts w:ascii="Times New Roman" w:hAnsi="Times New Roman"/>
          <w:b/>
          <w:color w:val="FF0000"/>
        </w:rPr>
        <w:t xml:space="preserve">. </w:t>
      </w:r>
    </w:p>
    <w:p w:rsidR="00A57FBC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>Jakie źródła informacji, bazy danych powinny być sprawdzane podczas przeprowadzania starannych poszukiwań? Czy powinien istnieć katalog (na wzór tego zawartego w dyrektywie) źródeł, które należy przeszukać?</w:t>
      </w:r>
      <w:r w:rsidR="00984297" w:rsidRPr="00DF4D6A">
        <w:rPr>
          <w:rFonts w:ascii="Times New Roman" w:hAnsi="Times New Roman"/>
        </w:rPr>
        <w:t xml:space="preserve"> </w:t>
      </w:r>
    </w:p>
    <w:p w:rsidR="007A71BE" w:rsidRPr="00DF4D6A" w:rsidRDefault="00BE1D29" w:rsidP="00BE1D29">
      <w:pPr>
        <w:spacing w:before="100" w:beforeAutospacing="1" w:after="100" w:afterAutospacing="1" w:line="225" w:lineRule="atLeast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Zdaniem </w:t>
      </w:r>
      <w:r w:rsidR="00F16E32" w:rsidRPr="00DF4D6A">
        <w:rPr>
          <w:rFonts w:ascii="Times New Roman" w:hAnsi="Times New Roman"/>
          <w:color w:val="FF0000"/>
        </w:rPr>
        <w:t>PKPP Lewiatan</w:t>
      </w:r>
      <w:r w:rsidRPr="00DF4D6A">
        <w:rPr>
          <w:rFonts w:ascii="Times New Roman" w:hAnsi="Times New Roman"/>
          <w:color w:val="FF0000"/>
        </w:rPr>
        <w:t xml:space="preserve"> ź</w:t>
      </w:r>
      <w:r w:rsidR="007A71BE" w:rsidRPr="00DF4D6A">
        <w:rPr>
          <w:rFonts w:ascii="Times New Roman" w:hAnsi="Times New Roman"/>
          <w:color w:val="FF0000"/>
        </w:rPr>
        <w:t>ródła wskazane w dyrektywie podlegające sprawdzeniu w ramach "starannego poszukiwa</w:t>
      </w:r>
      <w:r w:rsidRPr="00DF4D6A">
        <w:rPr>
          <w:rFonts w:ascii="Times New Roman" w:hAnsi="Times New Roman"/>
          <w:color w:val="FF0000"/>
        </w:rPr>
        <w:t>nia" są</w:t>
      </w:r>
      <w:r w:rsidR="007A71BE" w:rsidRPr="00DF4D6A">
        <w:rPr>
          <w:rFonts w:ascii="Times New Roman" w:hAnsi="Times New Roman"/>
          <w:color w:val="FF0000"/>
        </w:rPr>
        <w:t xml:space="preserve"> wystarczające</w:t>
      </w:r>
      <w:r w:rsidRPr="00DF4D6A">
        <w:rPr>
          <w:rFonts w:ascii="Times New Roman" w:hAnsi="Times New Roman"/>
          <w:color w:val="FF0000"/>
        </w:rPr>
        <w:t xml:space="preserve"> </w:t>
      </w:r>
      <w:r w:rsidR="007A71BE" w:rsidRPr="00DF4D6A">
        <w:rPr>
          <w:rFonts w:ascii="Times New Roman" w:hAnsi="Times New Roman"/>
          <w:color w:val="FF0000"/>
        </w:rPr>
        <w:t xml:space="preserve">Uważamy </w:t>
      </w:r>
      <w:r w:rsidRPr="00DF4D6A">
        <w:rPr>
          <w:rFonts w:ascii="Times New Roman" w:hAnsi="Times New Roman"/>
          <w:color w:val="FF0000"/>
        </w:rPr>
        <w:t xml:space="preserve">również, </w:t>
      </w:r>
      <w:r w:rsidR="007A71BE" w:rsidRPr="00DF4D6A">
        <w:rPr>
          <w:rFonts w:ascii="Times New Roman" w:hAnsi="Times New Roman"/>
          <w:color w:val="FF0000"/>
        </w:rPr>
        <w:t>że państwo powinno organizować jeden punkt dostępowy. Ponadto dobrym rozwiązaniem wydaje się stworzenie Europejskiej bazy danych utworów osieroconych, co miałoby zapobiec wielokrotnemu poszukiwaniu tych samych dzieł. Służyłoby to właściwej optymalizacji kosztów.</w:t>
      </w:r>
    </w:p>
    <w:p w:rsidR="00A57FBC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>Czy powinna istnieć jedna baza utworów, czy raczej kilka dla każdego rodzaju dzieł – materiałów drukowanych, utworów audiowizualnych itp. Czy powinna ona być ogólnie dostępna dla podmiotów uprawnionych i użytkowników?</w:t>
      </w:r>
      <w:r w:rsidR="00984297" w:rsidRPr="00DF4D6A">
        <w:rPr>
          <w:rFonts w:ascii="Times New Roman" w:hAnsi="Times New Roman"/>
        </w:rPr>
        <w:t xml:space="preserve"> </w:t>
      </w:r>
    </w:p>
    <w:p w:rsidR="00EC3EB3" w:rsidRDefault="00EC3EB3" w:rsidP="00EC3EB3">
      <w:pPr>
        <w:spacing w:after="0"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Powinna istnieć jedna, ogólnie dostępna baza utworów.</w:t>
      </w:r>
      <w:r w:rsidR="007A71BE" w:rsidRPr="00DF4D6A">
        <w:rPr>
          <w:rFonts w:ascii="Times New Roman" w:hAnsi="Times New Roman"/>
          <w:color w:val="FF0000"/>
        </w:rPr>
        <w:t xml:space="preserve"> </w:t>
      </w:r>
    </w:p>
    <w:p w:rsidR="00DF4D6A" w:rsidRPr="00DF4D6A" w:rsidRDefault="00DF4D6A" w:rsidP="00EC3EB3">
      <w:pPr>
        <w:spacing w:after="0" w:line="240" w:lineRule="auto"/>
        <w:ind w:left="709"/>
        <w:rPr>
          <w:rFonts w:ascii="Times New Roman" w:hAnsi="Times New Roman"/>
          <w:color w:val="FF0000"/>
        </w:rPr>
      </w:pPr>
    </w:p>
    <w:p w:rsidR="00F16E32" w:rsidRPr="00DF4D6A" w:rsidRDefault="00F16E32" w:rsidP="00F16E32">
      <w:pPr>
        <w:pStyle w:val="Akapitzlist"/>
        <w:spacing w:line="240" w:lineRule="auto"/>
        <w:ind w:left="72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>Baza powinna obejmować wszystkie rodzaje dzieł oraz być dostępną dla wszystkich zainteresowanych. Wydaje się, że utworzenie wspólnej unijnej bazy utworów osieroconych jest dobrym pomysłem. Taka baza powinna być kompatybilna z krajowymi rejestrami publicznymi. Organizacja i funkcjonowanie bazy unijnej powinna być pomyślana w taki sposób, aby łącznie z rejestrami krajowymi odciążyć podmioty mające korzystać z dzieł osieroconych przynajmniej z części kosztów i ryzyka związanego ze starannymi poszukiwaniami.</w:t>
      </w:r>
    </w:p>
    <w:p w:rsidR="00E11372" w:rsidRPr="00DF4D6A" w:rsidRDefault="00E11372" w:rsidP="00EC3EB3">
      <w:pPr>
        <w:spacing w:after="0" w:line="240" w:lineRule="auto"/>
        <w:ind w:left="709"/>
        <w:rPr>
          <w:rFonts w:ascii="Times New Roman" w:hAnsi="Times New Roman"/>
        </w:rPr>
      </w:pPr>
    </w:p>
    <w:p w:rsidR="00EB4BB0" w:rsidRPr="00DF4D6A" w:rsidRDefault="00FE01BA" w:rsidP="00FE01BA">
      <w:pPr>
        <w:pStyle w:val="Akapitzlist"/>
        <w:numPr>
          <w:ilvl w:val="0"/>
          <w:numId w:val="17"/>
        </w:numPr>
        <w:spacing w:after="360" w:line="240" w:lineRule="auto"/>
        <w:ind w:left="714" w:hanging="357"/>
        <w:rPr>
          <w:rFonts w:ascii="Times New Roman" w:hAnsi="Times New Roman"/>
        </w:rPr>
      </w:pPr>
      <w:r w:rsidRPr="00DF4D6A">
        <w:rPr>
          <w:rFonts w:ascii="Times New Roman" w:hAnsi="Times New Roman"/>
        </w:rPr>
        <w:t>Jakie dane powinny być zawarte w rejestrze utworów osieroconych?</w:t>
      </w:r>
    </w:p>
    <w:p w:rsidR="00EC3EB3" w:rsidRPr="00DF4D6A" w:rsidRDefault="002539E5" w:rsidP="00EC3EB3">
      <w:pPr>
        <w:pStyle w:val="Akapitzlist"/>
        <w:spacing w:after="360" w:line="240" w:lineRule="auto"/>
        <w:ind w:left="709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Zakres określony w art. 3 pkt. 5 przedmiotowej Dyrektywy, określa w sposób wystarczający dane, które powinny znajdować się w rejestrze. </w:t>
      </w:r>
    </w:p>
    <w:p w:rsidR="00AF477A" w:rsidRPr="00DF4D6A" w:rsidRDefault="00FE01BA" w:rsidP="00AF477A">
      <w:pPr>
        <w:pStyle w:val="Cytatintensywny"/>
        <w:ind w:left="0"/>
        <w:rPr>
          <w:rFonts w:ascii="Times New Roman" w:hAnsi="Times New Roman"/>
          <w:sz w:val="26"/>
          <w:szCs w:val="26"/>
        </w:rPr>
      </w:pPr>
      <w:r w:rsidRPr="00DF4D6A">
        <w:rPr>
          <w:rFonts w:ascii="Times New Roman" w:hAnsi="Times New Roman"/>
          <w:sz w:val="26"/>
          <w:szCs w:val="26"/>
        </w:rPr>
        <w:t>2</w:t>
      </w:r>
      <w:r w:rsidR="005115FA" w:rsidRPr="00DF4D6A">
        <w:rPr>
          <w:rFonts w:ascii="Times New Roman" w:hAnsi="Times New Roman"/>
          <w:sz w:val="26"/>
          <w:szCs w:val="26"/>
        </w:rPr>
        <w:t xml:space="preserve">. </w:t>
      </w:r>
      <w:r w:rsidR="00AF477A" w:rsidRPr="00DF4D6A">
        <w:rPr>
          <w:rFonts w:ascii="Times New Roman" w:hAnsi="Times New Roman"/>
          <w:sz w:val="26"/>
          <w:szCs w:val="26"/>
        </w:rPr>
        <w:t>Dzieła niedostępne w handlu (</w:t>
      </w:r>
      <w:proofErr w:type="spellStart"/>
      <w:r w:rsidR="00AF477A" w:rsidRPr="00DF4D6A">
        <w:rPr>
          <w:rFonts w:ascii="Times New Roman" w:hAnsi="Times New Roman"/>
          <w:sz w:val="26"/>
          <w:szCs w:val="26"/>
        </w:rPr>
        <w:t>out-of-commerce</w:t>
      </w:r>
      <w:proofErr w:type="spellEnd"/>
      <w:r w:rsidR="00AF477A" w:rsidRPr="00DF4D6A">
        <w:rPr>
          <w:rFonts w:ascii="Times New Roman" w:hAnsi="Times New Roman"/>
          <w:sz w:val="26"/>
          <w:szCs w:val="26"/>
        </w:rPr>
        <w:t>)</w:t>
      </w:r>
    </w:p>
    <w:p w:rsidR="00FE01BA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>Czy regulacja ustawowa dzieł niedostępnych w handlu jest konieczna w polskim porządku prawnym? Czy korzystanie z dzieł niedostępnych w handlu powinno być jedynie przedmiotem porozumień zawieranych pomiędzy wydawcami, bibliotekami i organizacjami zbiorowego zarządzania?</w:t>
      </w:r>
    </w:p>
    <w:p w:rsidR="00F16E32" w:rsidRPr="00DF4D6A" w:rsidRDefault="00F16E32" w:rsidP="00F16E32">
      <w:pPr>
        <w:spacing w:line="240" w:lineRule="auto"/>
        <w:ind w:left="360"/>
        <w:rPr>
          <w:rFonts w:ascii="Times New Roman" w:hAnsi="Times New Roman"/>
          <w:i/>
          <w:color w:val="FF0000"/>
        </w:rPr>
      </w:pPr>
      <w:r w:rsidRPr="00DF4D6A">
        <w:rPr>
          <w:rFonts w:ascii="Times New Roman" w:hAnsi="Times New Roman"/>
          <w:color w:val="FF0000"/>
        </w:rPr>
        <w:t>Wedle posiadanej przez Nas wiedzy pozyskanej w oparciu o różnego rodzaju przekazy medialne,</w:t>
      </w:r>
      <w:r w:rsidRPr="00DF4D6A">
        <w:rPr>
          <w:rFonts w:ascii="Times New Roman" w:hAnsi="Times New Roman"/>
          <w:color w:val="E36C0A" w:themeColor="accent6" w:themeShade="BF"/>
        </w:rPr>
        <w:t xml:space="preserve"> </w:t>
      </w:r>
      <w:r w:rsidRPr="00DF4D6A">
        <w:rPr>
          <w:rFonts w:ascii="Times New Roman" w:hAnsi="Times New Roman"/>
          <w:i/>
          <w:color w:val="FF0000"/>
        </w:rPr>
        <w:t xml:space="preserve">„jednym z wyzwań, z którymi obecnie próbuje się zmierzyć Unia Europejska, jest optymalizacja wykorzystania technologii informacyjnych na rzecz zwiększenia wzrostu gospodarczego, tworzenia nowych miejsc pracy oraz poprawy jakości życia obywateli Europy w ramach strategii „Europa 2020”, co zostało zarysowane w Cyfrowej Agendzie dla Europy (Digital Agenda for Europe). W ramach tego digitalizacja i ochrona zasobów europejskiej pamięci kulturowej, obejmującej materiały drukowane – książki, czasopisma oraz gazety – ale również fotografie, obiekty muzealne, dokumenty archiwalne, materiały dźwiękowe i audiowizualne, obiekty zabytkowe i stanowiska archeologiczne, traktowane wszystkie jako dorobek kulturowy, należą do kluczowych </w:t>
      </w:r>
      <w:proofErr w:type="spellStart"/>
      <w:r w:rsidRPr="00DF4D6A">
        <w:rPr>
          <w:rFonts w:ascii="Times New Roman" w:hAnsi="Times New Roman"/>
          <w:i/>
          <w:color w:val="FF0000"/>
        </w:rPr>
        <w:t>obszarów.Dlatego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też Komisja Europejska, mając na względzie rozwój bibliotek cyfrowych w Europie i zapewnienie możliwie szerokiego dostępu do dziedzictwa kulturowego, zarysowanych w Cyfrowej Agendzie dla Europy i strategii Komisji w zakresie praw własności intelektualnej (</w:t>
      </w:r>
      <w:proofErr w:type="spellStart"/>
      <w:r w:rsidRPr="00DF4D6A">
        <w:rPr>
          <w:rFonts w:ascii="Times New Roman" w:hAnsi="Times New Roman"/>
          <w:i/>
          <w:color w:val="FF0000"/>
        </w:rPr>
        <w:t>Commission’s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DF4D6A">
        <w:rPr>
          <w:rFonts w:ascii="Times New Roman" w:hAnsi="Times New Roman"/>
          <w:i/>
          <w:color w:val="FF0000"/>
        </w:rPr>
        <w:t>Strategy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on </w:t>
      </w:r>
      <w:proofErr w:type="spellStart"/>
      <w:r w:rsidRPr="00DF4D6A">
        <w:rPr>
          <w:rFonts w:ascii="Times New Roman" w:hAnsi="Times New Roman"/>
          <w:i/>
          <w:color w:val="FF0000"/>
        </w:rPr>
        <w:t>Intellectual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Property </w:t>
      </w:r>
      <w:proofErr w:type="spellStart"/>
      <w:r w:rsidRPr="00DF4D6A">
        <w:rPr>
          <w:rFonts w:ascii="Times New Roman" w:hAnsi="Times New Roman"/>
          <w:i/>
          <w:color w:val="FF0000"/>
        </w:rPr>
        <w:t>Rights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), patronowała wypracowaniu przez zainteresowane środowiska Porozumienia dotyczącego podstawowych zasad digitalizacji i publicznego udostępniania dzieł niedostępnych w handlu z 20 września 2011 r. (Ramowe Porozumienie – Memorandum of </w:t>
      </w:r>
      <w:proofErr w:type="spellStart"/>
      <w:r w:rsidRPr="00DF4D6A">
        <w:rPr>
          <w:rFonts w:ascii="Times New Roman" w:hAnsi="Times New Roman"/>
          <w:i/>
          <w:color w:val="FF0000"/>
        </w:rPr>
        <w:t>Understanding</w:t>
      </w:r>
      <w:proofErr w:type="spellEnd"/>
      <w:r w:rsidRPr="00DF4D6A">
        <w:rPr>
          <w:rFonts w:ascii="Times New Roman" w:hAnsi="Times New Roman"/>
          <w:i/>
          <w:color w:val="FF0000"/>
        </w:rPr>
        <w:t>). Porozumienie to, jak również dyrektywa o dziełach osieroconych (</w:t>
      </w:r>
      <w:proofErr w:type="spellStart"/>
      <w:r w:rsidRPr="00DF4D6A">
        <w:rPr>
          <w:rFonts w:ascii="Times New Roman" w:hAnsi="Times New Roman"/>
          <w:i/>
          <w:color w:val="FF0000"/>
        </w:rPr>
        <w:t>orphan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DF4D6A">
        <w:rPr>
          <w:rFonts w:ascii="Times New Roman" w:hAnsi="Times New Roman"/>
          <w:i/>
          <w:color w:val="FF0000"/>
        </w:rPr>
        <w:t>works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) stanowią dwubiegunowe podejście Komisji Europejskiej do kwestii </w:t>
      </w:r>
      <w:proofErr w:type="spellStart"/>
      <w:r w:rsidRPr="00DF4D6A">
        <w:rPr>
          <w:rFonts w:ascii="Times New Roman" w:hAnsi="Times New Roman"/>
          <w:i/>
          <w:color w:val="FF0000"/>
        </w:rPr>
        <w:t>prawnoautorskich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w kontekście rozwoju bibliotek cyfrowych w Europie. </w:t>
      </w:r>
    </w:p>
    <w:p w:rsidR="00F16E32" w:rsidRPr="00DF4D6A" w:rsidRDefault="00F16E32" w:rsidP="00F16E32">
      <w:pPr>
        <w:spacing w:line="240" w:lineRule="auto"/>
        <w:ind w:left="360"/>
        <w:rPr>
          <w:rFonts w:ascii="Times New Roman" w:hAnsi="Times New Roman"/>
          <w:i/>
          <w:color w:val="FF0000"/>
        </w:rPr>
      </w:pPr>
      <w:r w:rsidRPr="00DF4D6A">
        <w:rPr>
          <w:rFonts w:ascii="Times New Roman" w:hAnsi="Times New Roman"/>
          <w:i/>
          <w:color w:val="FF0000"/>
        </w:rPr>
        <w:t xml:space="preserve">Aby umożliwić włączenie do procesów digitalizacji również publikacji wydanych stosunkowo niedawno, wypracowane zostało pojęcie statusu out of commerce książki, które w świetle tych dokumentów oznacza, iż jest ona wciąż objęta ochroną </w:t>
      </w:r>
      <w:proofErr w:type="spellStart"/>
      <w:r w:rsidRPr="00DF4D6A">
        <w:rPr>
          <w:rFonts w:ascii="Times New Roman" w:hAnsi="Times New Roman"/>
          <w:i/>
          <w:color w:val="FF0000"/>
        </w:rPr>
        <w:t>prawnoautorską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, jednak nie jest dostępna w obrocie handlowym, ponieważ autor czy wydawca zdecydowali się czy to nie wydawać nowych edycji, czy też nie sprzedawać jej za pośrednictwem kanałów dystrybucyjnych. O ile w poprzednich latach takie książki oznaczano mianem out of </w:t>
      </w:r>
      <w:proofErr w:type="spellStart"/>
      <w:r w:rsidRPr="00DF4D6A">
        <w:rPr>
          <w:rFonts w:ascii="Times New Roman" w:hAnsi="Times New Roman"/>
          <w:i/>
          <w:color w:val="FF0000"/>
        </w:rPr>
        <w:t>print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, o tyle obecnie, w związku z rozwojem sprzedaży elektronicznych wydań książek, pojęcie to nie do końca odpowiada rzeczywistości, ponieważ dany </w:t>
      </w:r>
      <w:proofErr w:type="spellStart"/>
      <w:r w:rsidRPr="00DF4D6A">
        <w:rPr>
          <w:rFonts w:ascii="Times New Roman" w:hAnsi="Times New Roman"/>
          <w:i/>
          <w:color w:val="FF0000"/>
        </w:rPr>
        <w:t>e-book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będzie miał status </w:t>
      </w:r>
      <w:proofErr w:type="spellStart"/>
      <w:r w:rsidRPr="00DF4D6A">
        <w:rPr>
          <w:rFonts w:ascii="Times New Roman" w:hAnsi="Times New Roman"/>
          <w:i/>
          <w:color w:val="FF0000"/>
        </w:rPr>
        <w:t>in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commerce, nawet jeżeli będzie dostępny tylko w elektronicznej, a nie drukowanej </w:t>
      </w:r>
      <w:proofErr w:type="spellStart"/>
      <w:r w:rsidRPr="00DF4D6A">
        <w:rPr>
          <w:rFonts w:ascii="Times New Roman" w:hAnsi="Times New Roman"/>
          <w:i/>
          <w:color w:val="FF0000"/>
        </w:rPr>
        <w:t>(i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n </w:t>
      </w:r>
      <w:proofErr w:type="spellStart"/>
      <w:r w:rsidRPr="00DF4D6A">
        <w:rPr>
          <w:rFonts w:ascii="Times New Roman" w:hAnsi="Times New Roman"/>
          <w:i/>
          <w:color w:val="FF0000"/>
        </w:rPr>
        <w:t>print</w:t>
      </w:r>
      <w:proofErr w:type="spellEnd"/>
      <w:r w:rsidRPr="00DF4D6A">
        <w:rPr>
          <w:rFonts w:ascii="Times New Roman" w:hAnsi="Times New Roman"/>
          <w:i/>
          <w:color w:val="FF0000"/>
        </w:rPr>
        <w:t>) formie.</w:t>
      </w:r>
      <w:r w:rsidRPr="00DF4D6A">
        <w:rPr>
          <w:rStyle w:val="list1text"/>
          <w:rFonts w:ascii="Times New Roman" w:hAnsi="Times New Roman"/>
          <w:i/>
          <w:color w:val="FF0000"/>
        </w:rPr>
        <w:t xml:space="preserve"> </w:t>
      </w:r>
      <w:r w:rsidRPr="00DF4D6A">
        <w:rPr>
          <w:rFonts w:ascii="Times New Roman" w:hAnsi="Times New Roman"/>
          <w:i/>
          <w:color w:val="FF0000"/>
        </w:rPr>
        <w:t xml:space="preserve">W związku z tym o statusie </w:t>
      </w:r>
      <w:proofErr w:type="spellStart"/>
      <w:r w:rsidRPr="00DF4D6A">
        <w:rPr>
          <w:rFonts w:ascii="Times New Roman" w:hAnsi="Times New Roman"/>
          <w:i/>
          <w:color w:val="FF0000"/>
        </w:rPr>
        <w:t>in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commerce czy out of commerce danej publikacji decyduje wydawca. Należy mieć jednak na uwadze, iż pojęcia </w:t>
      </w:r>
      <w:proofErr w:type="spellStart"/>
      <w:r w:rsidRPr="00DF4D6A">
        <w:rPr>
          <w:rFonts w:ascii="Times New Roman" w:hAnsi="Times New Roman"/>
          <w:i/>
          <w:color w:val="FF0000"/>
        </w:rPr>
        <w:t>in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commerce, out of commerce, jak i </w:t>
      </w:r>
      <w:proofErr w:type="spellStart"/>
      <w:r w:rsidRPr="00DF4D6A">
        <w:rPr>
          <w:rFonts w:ascii="Times New Roman" w:hAnsi="Times New Roman"/>
          <w:i/>
          <w:color w:val="FF0000"/>
        </w:rPr>
        <w:t>in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DF4D6A">
        <w:rPr>
          <w:rFonts w:ascii="Times New Roman" w:hAnsi="Times New Roman"/>
          <w:i/>
          <w:color w:val="FF0000"/>
        </w:rPr>
        <w:t>print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czy out of </w:t>
      </w:r>
      <w:proofErr w:type="spellStart"/>
      <w:r w:rsidRPr="00DF4D6A">
        <w:rPr>
          <w:rFonts w:ascii="Times New Roman" w:hAnsi="Times New Roman"/>
          <w:i/>
          <w:color w:val="FF0000"/>
        </w:rPr>
        <w:t>print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nie zawsze są rozumiane jednolicie i odmiennie definiują status publikacji w zależności od celu, w jakim są używane. O ile wyżej zarysowane rozumienie tych pojęć stosowane jest w kontekście Ramowego Porozumienia, o tyle nieco inaczej stosuje te pojęcia omawiany w niniejszym numerze specjalnym proces ARROW. Tam pojęcia </w:t>
      </w:r>
      <w:proofErr w:type="spellStart"/>
      <w:r w:rsidRPr="00DF4D6A">
        <w:rPr>
          <w:rFonts w:ascii="Times New Roman" w:hAnsi="Times New Roman"/>
          <w:i/>
          <w:color w:val="FF0000"/>
        </w:rPr>
        <w:t>in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DF4D6A">
        <w:rPr>
          <w:rFonts w:ascii="Times New Roman" w:hAnsi="Times New Roman"/>
          <w:i/>
          <w:color w:val="FF0000"/>
        </w:rPr>
        <w:t>print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i out of </w:t>
      </w:r>
      <w:proofErr w:type="spellStart"/>
      <w:r w:rsidRPr="00DF4D6A">
        <w:rPr>
          <w:rFonts w:ascii="Times New Roman" w:hAnsi="Times New Roman"/>
          <w:i/>
          <w:color w:val="FF0000"/>
        </w:rPr>
        <w:t>print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odnoszą się do możliwości (do)drukowania danej publikacji przez wydawcę, natomiast pojęcia </w:t>
      </w:r>
      <w:proofErr w:type="spellStart"/>
      <w:r w:rsidRPr="00DF4D6A">
        <w:rPr>
          <w:rFonts w:ascii="Times New Roman" w:hAnsi="Times New Roman"/>
          <w:i/>
          <w:color w:val="FF0000"/>
        </w:rPr>
        <w:t>in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commerce i out of commerce związane są z faktyczną dostępnością danej pozycji w sprzedaży i odpowiedzi na to pytanie udzielają najczęściej dystrybutorzy czy księgarnie, określający, czy istnieje możliwość zakupu danej publikacji za ich pośrednictwem – zarówno bezpośrednio z półki, jak i w wyniku jej zamówienia i szybkiego dostarczenia w używanych przez nich kanałach zaopatrzenia. Dlatego też w trakcie prac nad polskimi rozwiązaniami niezbędne jest dokładne zdefiniowanie tych pojęć z uwagi na doniosłe znaczenie prawne i biznesowe przyjętych definicji.</w:t>
      </w:r>
    </w:p>
    <w:p w:rsidR="00F16E32" w:rsidRPr="00DF4D6A" w:rsidRDefault="00F16E32" w:rsidP="00F16E32">
      <w:pPr>
        <w:spacing w:line="240" w:lineRule="auto"/>
        <w:ind w:left="36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i/>
          <w:color w:val="FF0000"/>
        </w:rPr>
        <w:t xml:space="preserve">W sytuacji gdy wydawcy często nie są zainteresowani utrzymywaniem w sprzedaży starszych i gorzej sprzedających się książek (chociaż zapewniają ich dostępność w formie </w:t>
      </w:r>
      <w:proofErr w:type="spellStart"/>
      <w:r w:rsidRPr="00DF4D6A">
        <w:rPr>
          <w:rFonts w:ascii="Times New Roman" w:hAnsi="Times New Roman"/>
          <w:i/>
          <w:color w:val="FF0000"/>
        </w:rPr>
        <w:t>e-booków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czy też druku na żądanie – </w:t>
      </w:r>
      <w:proofErr w:type="spellStart"/>
      <w:r w:rsidRPr="00DF4D6A">
        <w:rPr>
          <w:rFonts w:ascii="Times New Roman" w:hAnsi="Times New Roman"/>
          <w:i/>
          <w:color w:val="FF0000"/>
        </w:rPr>
        <w:t>print</w:t>
      </w:r>
      <w:proofErr w:type="spellEnd"/>
      <w:r w:rsidRPr="00DF4D6A">
        <w:rPr>
          <w:rFonts w:ascii="Times New Roman" w:hAnsi="Times New Roman"/>
          <w:i/>
          <w:color w:val="FF0000"/>
        </w:rPr>
        <w:t xml:space="preserve"> on </w:t>
      </w:r>
      <w:proofErr w:type="spellStart"/>
      <w:r w:rsidRPr="00DF4D6A">
        <w:rPr>
          <w:rFonts w:ascii="Times New Roman" w:hAnsi="Times New Roman"/>
          <w:i/>
          <w:color w:val="FF0000"/>
        </w:rPr>
        <w:t>demand</w:t>
      </w:r>
      <w:proofErr w:type="spellEnd"/>
      <w:r w:rsidRPr="00DF4D6A">
        <w:rPr>
          <w:rFonts w:ascii="Times New Roman" w:hAnsi="Times New Roman"/>
          <w:i/>
          <w:color w:val="FF0000"/>
        </w:rPr>
        <w:t>), biblioteki dążą do ich digitalizacji i udostępniania w Internecie, co ściśle wiąże się z ich misją – szczególnie gdy dotyczy publikacji stanowiących dziedzictwo kulturalne danego kraju, regionu czy miejscowości. Takie rozwiązanie jest doskonałą szansą dostępu do danych tytułów i treści dla czytelników, zwłaszcza gdyby książki te miały popaść w zapomnienie.”</w:t>
      </w:r>
      <w:r w:rsidRPr="00DF4D6A">
        <w:rPr>
          <w:rFonts w:ascii="Times New Roman" w:hAnsi="Times New Roman"/>
          <w:color w:val="FF0000"/>
        </w:rPr>
        <w:t xml:space="preserve"> (vide: czasopismo „</w:t>
      </w:r>
      <w:proofErr w:type="spellStart"/>
      <w:r w:rsidRPr="00DF4D6A">
        <w:rPr>
          <w:rFonts w:ascii="Times New Roman" w:hAnsi="Times New Roman"/>
          <w:color w:val="FF0000"/>
        </w:rPr>
        <w:t>Bibiloteka</w:t>
      </w:r>
      <w:proofErr w:type="spellEnd"/>
      <w:r w:rsidRPr="00DF4D6A">
        <w:rPr>
          <w:rFonts w:ascii="Times New Roman" w:hAnsi="Times New Roman"/>
          <w:color w:val="FF0000"/>
        </w:rPr>
        <w:t xml:space="preserve"> analiz” Nr 339, z dnia 24.10.2012 r., Jędrzej Maciejewski). </w:t>
      </w:r>
    </w:p>
    <w:p w:rsidR="00F16E32" w:rsidRPr="00DF4D6A" w:rsidRDefault="00F16E32" w:rsidP="00F16E32">
      <w:pPr>
        <w:spacing w:line="240" w:lineRule="auto"/>
        <w:ind w:left="36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Jak zatem wynika z powyższego, w/w tematyka jest co do zasady ograniczona do jednego rodzaju utworów, tj. książek i w naszej ocenie </w:t>
      </w:r>
      <w:proofErr w:type="spellStart"/>
      <w:r w:rsidRPr="00DF4D6A">
        <w:rPr>
          <w:rFonts w:ascii="Times New Roman" w:hAnsi="Times New Roman"/>
          <w:color w:val="FF0000"/>
        </w:rPr>
        <w:t>regulacje</w:t>
      </w:r>
      <w:proofErr w:type="spellEnd"/>
      <w:r w:rsidRPr="00DF4D6A">
        <w:rPr>
          <w:rFonts w:ascii="Times New Roman" w:hAnsi="Times New Roman"/>
          <w:color w:val="FF0000"/>
        </w:rPr>
        <w:t xml:space="preserve"> dzieł niedostępnych w handlu winna się odbyć na poziomie porozumień między najbardziej zainteresowanymi podmiotami, nie zaś na poziomie przepisów prawa powszechnie obowiązującego. </w:t>
      </w:r>
    </w:p>
    <w:p w:rsidR="00F16E32" w:rsidRPr="00DF4D6A" w:rsidRDefault="00F16E32" w:rsidP="00F16E32">
      <w:pPr>
        <w:pStyle w:val="Akapitzlist"/>
        <w:spacing w:line="240" w:lineRule="auto"/>
        <w:ind w:left="720"/>
        <w:rPr>
          <w:rFonts w:ascii="Times New Roman" w:hAnsi="Times New Roman"/>
        </w:rPr>
      </w:pPr>
    </w:p>
    <w:p w:rsidR="00FE01BA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 xml:space="preserve">W jaki sposób powinno być zdefiniowane pojęcie dzieł niedostępnych w handlu w Polsce? </w:t>
      </w:r>
    </w:p>
    <w:p w:rsidR="00F16E32" w:rsidRPr="00DF4D6A" w:rsidRDefault="00F16E32" w:rsidP="00F16E32">
      <w:pPr>
        <w:spacing w:line="240" w:lineRule="auto"/>
        <w:ind w:left="36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Definicja ta winna opierać się na dostępności danego dzieła w obrocie handlowym. Ta okoliczność powinna kwalifikować dzieło jako </w:t>
      </w:r>
      <w:proofErr w:type="spellStart"/>
      <w:r w:rsidRPr="00DF4D6A">
        <w:rPr>
          <w:rFonts w:ascii="Times New Roman" w:hAnsi="Times New Roman"/>
          <w:color w:val="FF0000"/>
        </w:rPr>
        <w:t>in</w:t>
      </w:r>
      <w:proofErr w:type="spellEnd"/>
      <w:r w:rsidRPr="00DF4D6A">
        <w:rPr>
          <w:rFonts w:ascii="Times New Roman" w:hAnsi="Times New Roman"/>
          <w:color w:val="FF0000"/>
        </w:rPr>
        <w:t xml:space="preserve"> commerce albo jako out of commerce. </w:t>
      </w:r>
    </w:p>
    <w:p w:rsidR="00F16E32" w:rsidRPr="00DF4D6A" w:rsidRDefault="00F16E32" w:rsidP="00F16E32">
      <w:pPr>
        <w:pStyle w:val="Akapitzlist"/>
        <w:spacing w:line="240" w:lineRule="auto"/>
        <w:ind w:left="720"/>
        <w:rPr>
          <w:rFonts w:ascii="Times New Roman" w:hAnsi="Times New Roman"/>
        </w:rPr>
      </w:pPr>
    </w:p>
    <w:p w:rsidR="00FE01BA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>W przypadku utworów zakwalifikowanych do kategorii dzieł niedostępnych w handlu</w:t>
      </w:r>
      <w:r w:rsidR="00AE2DB1" w:rsidRPr="00DF4D6A">
        <w:rPr>
          <w:rFonts w:ascii="Times New Roman" w:hAnsi="Times New Roman"/>
        </w:rPr>
        <w:t>,</w:t>
      </w:r>
      <w:r w:rsidRPr="00DF4D6A">
        <w:rPr>
          <w:rFonts w:ascii="Times New Roman" w:hAnsi="Times New Roman"/>
        </w:rPr>
        <w:t xml:space="preserve"> jak powinna wyglądać procedura uzyskiwania zgody autora na korzystanie z danego utworu?</w:t>
      </w:r>
    </w:p>
    <w:p w:rsidR="00F16E32" w:rsidRPr="00DF4D6A" w:rsidRDefault="00F16E32" w:rsidP="00F16E32">
      <w:pPr>
        <w:pStyle w:val="Akapitzlist"/>
        <w:spacing w:line="240" w:lineRule="auto"/>
        <w:ind w:left="72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W naszej ocenie póki dzieło out of commerce nie jest jednocześnie dziełem osieroconym, którego autor nie jest znany, lub którego status </w:t>
      </w:r>
      <w:proofErr w:type="spellStart"/>
      <w:r w:rsidRPr="00DF4D6A">
        <w:rPr>
          <w:rFonts w:ascii="Times New Roman" w:hAnsi="Times New Roman"/>
          <w:color w:val="FF0000"/>
        </w:rPr>
        <w:t>prawny</w:t>
      </w:r>
      <w:proofErr w:type="spellEnd"/>
      <w:r w:rsidRPr="00DF4D6A">
        <w:rPr>
          <w:rFonts w:ascii="Times New Roman" w:hAnsi="Times New Roman"/>
          <w:color w:val="FF0000"/>
        </w:rPr>
        <w:t xml:space="preserve"> nie jest do końca jasny, powinno się odbywać na ogólnych zasadach, jak w przypadku każdego innego dzieła. </w:t>
      </w:r>
    </w:p>
    <w:p w:rsidR="00F16E32" w:rsidRPr="00DF4D6A" w:rsidRDefault="00F16E32" w:rsidP="00F16E32">
      <w:pPr>
        <w:pStyle w:val="Akapitzlist"/>
        <w:spacing w:line="240" w:lineRule="auto"/>
        <w:ind w:left="720"/>
        <w:rPr>
          <w:rFonts w:ascii="Times New Roman" w:hAnsi="Times New Roman"/>
        </w:rPr>
      </w:pPr>
    </w:p>
    <w:p w:rsidR="00FE01B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 xml:space="preserve">Czy podobne rozwiązania w warunkach </w:t>
      </w:r>
      <w:proofErr w:type="spellStart"/>
      <w:r w:rsidRPr="00DF4D6A">
        <w:rPr>
          <w:rFonts w:ascii="Times New Roman" w:hAnsi="Times New Roman"/>
        </w:rPr>
        <w:t>polskich</w:t>
      </w:r>
      <w:proofErr w:type="spellEnd"/>
      <w:r w:rsidRPr="00DF4D6A">
        <w:rPr>
          <w:rFonts w:ascii="Times New Roman" w:hAnsi="Times New Roman"/>
        </w:rPr>
        <w:t xml:space="preserve"> powinny dotyczyć również rynków utworów innych rodzajów niż utwory określone porozumieniem zawartym pod auspicjami UE?</w:t>
      </w:r>
    </w:p>
    <w:p w:rsidR="00DF4D6A" w:rsidRPr="00DF4D6A" w:rsidRDefault="00DF4D6A" w:rsidP="00DF4D6A">
      <w:pPr>
        <w:pStyle w:val="Akapitzlist"/>
        <w:spacing w:line="240" w:lineRule="auto"/>
        <w:ind w:left="720"/>
        <w:rPr>
          <w:rFonts w:ascii="Times New Roman" w:hAnsi="Times New Roman"/>
        </w:rPr>
      </w:pPr>
    </w:p>
    <w:p w:rsidR="00FE01BA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 xml:space="preserve">W oparciu o jakie kryteria powinno być ustalane wynagrodzenie z tytułu korzystania </w:t>
      </w:r>
      <w:r w:rsidRPr="00DF4D6A">
        <w:rPr>
          <w:rFonts w:ascii="Times New Roman" w:hAnsi="Times New Roman"/>
        </w:rPr>
        <w:br/>
        <w:t xml:space="preserve">z dzieł niedostępnych w handlu? Czy jego wysokość powinna być uzależniona od sposobu korzystania z utworu? Jakie powinny być zasady dotyczące wypłaty wynagrodzenia autorom </w:t>
      </w:r>
      <w:r w:rsidRPr="00DF4D6A">
        <w:rPr>
          <w:rFonts w:ascii="Times New Roman" w:hAnsi="Times New Roman"/>
        </w:rPr>
        <w:br/>
        <w:t xml:space="preserve">i wydawcom? </w:t>
      </w:r>
    </w:p>
    <w:p w:rsidR="00F16E32" w:rsidRPr="00DF4D6A" w:rsidRDefault="00F16E32" w:rsidP="00F16E32">
      <w:pPr>
        <w:pStyle w:val="Akapitzlist"/>
        <w:spacing w:line="240" w:lineRule="auto"/>
        <w:ind w:left="72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Kryteria rynkowe. W naszej ocenie to, że dane dzieło z jakichś względów zostało wycofane z rynku komercyjnego, nie oznacza, że nie może na nie powrócić np. wobec zmiany upodobań odbiorców, czy też „odkrycie” na nowo jego wartości artystycznej. </w:t>
      </w:r>
    </w:p>
    <w:p w:rsidR="00F16E32" w:rsidRPr="00DF4D6A" w:rsidRDefault="00F16E32" w:rsidP="00F16E32">
      <w:pPr>
        <w:pStyle w:val="Akapitzlist"/>
        <w:spacing w:line="240" w:lineRule="auto"/>
        <w:ind w:left="720"/>
        <w:rPr>
          <w:rFonts w:ascii="Times New Roman" w:hAnsi="Times New Roman"/>
        </w:rPr>
      </w:pPr>
    </w:p>
    <w:p w:rsidR="00FE01BA" w:rsidRPr="00DF4D6A" w:rsidRDefault="00FE01BA" w:rsidP="00FE01B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DF4D6A">
        <w:rPr>
          <w:rFonts w:ascii="Times New Roman" w:hAnsi="Times New Roman"/>
        </w:rPr>
        <w:t>Jakie dane powinien zawierać rejestr utworów niedostępnych w handlu i kto powinien go prowadzić?</w:t>
      </w:r>
    </w:p>
    <w:p w:rsidR="00F16E32" w:rsidRPr="00DF4D6A" w:rsidRDefault="00F16E32" w:rsidP="00F16E32">
      <w:pPr>
        <w:pStyle w:val="Akapitzlist"/>
        <w:spacing w:line="240" w:lineRule="auto"/>
        <w:ind w:left="720"/>
        <w:rPr>
          <w:rFonts w:ascii="Times New Roman" w:hAnsi="Times New Roman"/>
          <w:color w:val="FF0000"/>
        </w:rPr>
      </w:pPr>
      <w:r w:rsidRPr="00DF4D6A">
        <w:rPr>
          <w:rFonts w:ascii="Times New Roman" w:hAnsi="Times New Roman"/>
          <w:color w:val="FF0000"/>
        </w:rPr>
        <w:t xml:space="preserve">Dane, jakie powinny się znaleźć ew. w takim rejestrze powinny, to wskazanie imienia nazwiska oraz danych kontaktowych wszystkich twórców i/lub współtwórców takiego utworu, jak również np. nazwę i dane kontaktowe wydawcy. Powinni być oni przy tym zobowiązani do aktualizacji tych informacji. Jeśli zaś chodzi o podmiot, który mógłby prowadzić taki rejestr, to w naszej ocenie powinna to być instytucja państwowa o charakterze centralnym. </w:t>
      </w:r>
    </w:p>
    <w:p w:rsidR="00F16E32" w:rsidRPr="00DF4D6A" w:rsidRDefault="00F16E32" w:rsidP="00F16E32">
      <w:pPr>
        <w:pStyle w:val="Akapitzlist"/>
        <w:spacing w:line="240" w:lineRule="auto"/>
        <w:ind w:left="720"/>
        <w:rPr>
          <w:rFonts w:ascii="Times New Roman" w:hAnsi="Times New Roman"/>
        </w:rPr>
      </w:pPr>
    </w:p>
    <w:p w:rsidR="00FE01BA" w:rsidRPr="00DF4D6A" w:rsidRDefault="00FE01BA" w:rsidP="00FE01BA">
      <w:pPr>
        <w:rPr>
          <w:rFonts w:ascii="Times New Roman" w:hAnsi="Times New Roman"/>
        </w:rPr>
      </w:pPr>
    </w:p>
    <w:sectPr w:rsidR="00FE01BA" w:rsidRPr="00DF4D6A" w:rsidSect="00385D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AE" w:rsidRDefault="000D15AE" w:rsidP="00C13920">
      <w:pPr>
        <w:spacing w:after="0" w:line="240" w:lineRule="auto"/>
      </w:pPr>
      <w:r>
        <w:separator/>
      </w:r>
    </w:p>
  </w:endnote>
  <w:endnote w:type="continuationSeparator" w:id="0">
    <w:p w:rsidR="000D15AE" w:rsidRDefault="000D15AE" w:rsidP="00C1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E5" w:rsidRDefault="00703FDD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DF4D6A" w:rsidRPr="00DF4D6A">
        <w:rPr>
          <w:b/>
          <w:noProof/>
        </w:rPr>
        <w:t>9</w:t>
      </w:r>
    </w:fldSimple>
    <w:r w:rsidR="002539E5">
      <w:rPr>
        <w:b/>
      </w:rPr>
      <w:t xml:space="preserve"> | </w:t>
    </w:r>
    <w:r w:rsidR="002539E5">
      <w:rPr>
        <w:color w:val="7F7F7F"/>
        <w:spacing w:val="60"/>
      </w:rPr>
      <w:t>Strona</w:t>
    </w:r>
  </w:p>
  <w:p w:rsidR="002539E5" w:rsidRDefault="00253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AE" w:rsidRDefault="000D15AE" w:rsidP="00C13920">
      <w:pPr>
        <w:spacing w:after="0" w:line="240" w:lineRule="auto"/>
      </w:pPr>
      <w:r>
        <w:separator/>
      </w:r>
    </w:p>
  </w:footnote>
  <w:footnote w:type="continuationSeparator" w:id="0">
    <w:p w:rsidR="000D15AE" w:rsidRDefault="000D15AE" w:rsidP="00C1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E5" w:rsidRDefault="00994E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684530" cy="684530"/>
          <wp:effectExtent l="19050" t="0" r="1270" b="0"/>
          <wp:wrapNone/>
          <wp:docPr id="2" name="Obraz 2" descr="logo_mki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kid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3C2"/>
    <w:multiLevelType w:val="hybridMultilevel"/>
    <w:tmpl w:val="697407D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23441264"/>
    <w:multiLevelType w:val="hybridMultilevel"/>
    <w:tmpl w:val="C0CAAD92"/>
    <w:lvl w:ilvl="0" w:tplc="41C2410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38AD"/>
    <w:multiLevelType w:val="hybridMultilevel"/>
    <w:tmpl w:val="EB129A4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9AA0AD9"/>
    <w:multiLevelType w:val="hybridMultilevel"/>
    <w:tmpl w:val="82A67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D748A"/>
    <w:multiLevelType w:val="hybridMultilevel"/>
    <w:tmpl w:val="600403B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FA46608"/>
    <w:multiLevelType w:val="hybridMultilevel"/>
    <w:tmpl w:val="4FE43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E6731"/>
    <w:multiLevelType w:val="hybridMultilevel"/>
    <w:tmpl w:val="12B4F1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7E61CA"/>
    <w:multiLevelType w:val="hybridMultilevel"/>
    <w:tmpl w:val="8144A6C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DAF282E"/>
    <w:multiLevelType w:val="hybridMultilevel"/>
    <w:tmpl w:val="5580A8F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E08776E"/>
    <w:multiLevelType w:val="hybridMultilevel"/>
    <w:tmpl w:val="FAF09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AC023D"/>
    <w:multiLevelType w:val="hybridMultilevel"/>
    <w:tmpl w:val="0BB468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A35AE7"/>
    <w:multiLevelType w:val="hybridMultilevel"/>
    <w:tmpl w:val="6542F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425D5"/>
    <w:multiLevelType w:val="hybridMultilevel"/>
    <w:tmpl w:val="274A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96874"/>
    <w:multiLevelType w:val="hybridMultilevel"/>
    <w:tmpl w:val="CFEE9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B6684"/>
    <w:multiLevelType w:val="hybridMultilevel"/>
    <w:tmpl w:val="45B2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53B09"/>
    <w:multiLevelType w:val="hybridMultilevel"/>
    <w:tmpl w:val="2E18D5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55327"/>
    <w:multiLevelType w:val="hybridMultilevel"/>
    <w:tmpl w:val="6542F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3602C"/>
    <w:multiLevelType w:val="hybridMultilevel"/>
    <w:tmpl w:val="86D665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A4D6D01"/>
    <w:multiLevelType w:val="hybridMultilevel"/>
    <w:tmpl w:val="FDDC6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56199E"/>
    <w:multiLevelType w:val="multilevel"/>
    <w:tmpl w:val="0415001D"/>
    <w:lvl w:ilvl="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9"/>
  </w:num>
  <w:num w:numId="7">
    <w:abstractNumId w:val="17"/>
  </w:num>
  <w:num w:numId="8">
    <w:abstractNumId w:val="0"/>
  </w:num>
  <w:num w:numId="9">
    <w:abstractNumId w:val="7"/>
  </w:num>
  <w:num w:numId="10">
    <w:abstractNumId w:val="8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5"/>
  </w:num>
  <w:num w:numId="17">
    <w:abstractNumId w:val="14"/>
  </w:num>
  <w:num w:numId="18">
    <w:abstractNumId w:val="16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E66BD"/>
    <w:rsid w:val="000051EF"/>
    <w:rsid w:val="00005455"/>
    <w:rsid w:val="00010760"/>
    <w:rsid w:val="000118E3"/>
    <w:rsid w:val="00012F7E"/>
    <w:rsid w:val="00015675"/>
    <w:rsid w:val="0001583F"/>
    <w:rsid w:val="0001597A"/>
    <w:rsid w:val="00015A12"/>
    <w:rsid w:val="00021F69"/>
    <w:rsid w:val="000220B9"/>
    <w:rsid w:val="00034039"/>
    <w:rsid w:val="00036566"/>
    <w:rsid w:val="00037B77"/>
    <w:rsid w:val="00037F4C"/>
    <w:rsid w:val="0004271B"/>
    <w:rsid w:val="00043C3B"/>
    <w:rsid w:val="00043FA3"/>
    <w:rsid w:val="00044D91"/>
    <w:rsid w:val="00045305"/>
    <w:rsid w:val="0004563F"/>
    <w:rsid w:val="00051E3C"/>
    <w:rsid w:val="000523D7"/>
    <w:rsid w:val="00054589"/>
    <w:rsid w:val="000564CB"/>
    <w:rsid w:val="0006432A"/>
    <w:rsid w:val="00066489"/>
    <w:rsid w:val="00066672"/>
    <w:rsid w:val="00074555"/>
    <w:rsid w:val="000748E1"/>
    <w:rsid w:val="00076968"/>
    <w:rsid w:val="00082B2B"/>
    <w:rsid w:val="00084D4F"/>
    <w:rsid w:val="00095BD3"/>
    <w:rsid w:val="000A6D79"/>
    <w:rsid w:val="000C03C4"/>
    <w:rsid w:val="000C0B23"/>
    <w:rsid w:val="000C1EBE"/>
    <w:rsid w:val="000C37A9"/>
    <w:rsid w:val="000C7DAA"/>
    <w:rsid w:val="000D050B"/>
    <w:rsid w:val="000D15AE"/>
    <w:rsid w:val="000D1977"/>
    <w:rsid w:val="000D510E"/>
    <w:rsid w:val="000E08BB"/>
    <w:rsid w:val="000E30F6"/>
    <w:rsid w:val="000E3C0D"/>
    <w:rsid w:val="000E5557"/>
    <w:rsid w:val="000E61DF"/>
    <w:rsid w:val="000E7EEA"/>
    <w:rsid w:val="000F4838"/>
    <w:rsid w:val="000F793A"/>
    <w:rsid w:val="00100D5E"/>
    <w:rsid w:val="0010547F"/>
    <w:rsid w:val="00107B35"/>
    <w:rsid w:val="00110D00"/>
    <w:rsid w:val="001115BB"/>
    <w:rsid w:val="0011576E"/>
    <w:rsid w:val="0011663F"/>
    <w:rsid w:val="001219E8"/>
    <w:rsid w:val="001242D7"/>
    <w:rsid w:val="0012619B"/>
    <w:rsid w:val="0013185B"/>
    <w:rsid w:val="00133C53"/>
    <w:rsid w:val="001403B4"/>
    <w:rsid w:val="00140541"/>
    <w:rsid w:val="00140573"/>
    <w:rsid w:val="001433F4"/>
    <w:rsid w:val="00147898"/>
    <w:rsid w:val="0015077C"/>
    <w:rsid w:val="00156107"/>
    <w:rsid w:val="00163300"/>
    <w:rsid w:val="00166FA5"/>
    <w:rsid w:val="00167CC2"/>
    <w:rsid w:val="00170CE6"/>
    <w:rsid w:val="001725B1"/>
    <w:rsid w:val="00172C73"/>
    <w:rsid w:val="00174BA7"/>
    <w:rsid w:val="00180E5E"/>
    <w:rsid w:val="00183AB0"/>
    <w:rsid w:val="001936A5"/>
    <w:rsid w:val="00194BB4"/>
    <w:rsid w:val="001A014C"/>
    <w:rsid w:val="001A2B70"/>
    <w:rsid w:val="001A4B72"/>
    <w:rsid w:val="001B10DD"/>
    <w:rsid w:val="001B37D1"/>
    <w:rsid w:val="001B3CA9"/>
    <w:rsid w:val="001B3F40"/>
    <w:rsid w:val="001B4DA9"/>
    <w:rsid w:val="001C0322"/>
    <w:rsid w:val="001C0CDC"/>
    <w:rsid w:val="001C2822"/>
    <w:rsid w:val="001C47EB"/>
    <w:rsid w:val="001C653A"/>
    <w:rsid w:val="001C74A3"/>
    <w:rsid w:val="001D12B0"/>
    <w:rsid w:val="001D37E8"/>
    <w:rsid w:val="001D5DDE"/>
    <w:rsid w:val="001D664D"/>
    <w:rsid w:val="001D7D83"/>
    <w:rsid w:val="001E405F"/>
    <w:rsid w:val="001E54ED"/>
    <w:rsid w:val="001E5A65"/>
    <w:rsid w:val="001F1F7B"/>
    <w:rsid w:val="001F268D"/>
    <w:rsid w:val="001F2D8D"/>
    <w:rsid w:val="001F483A"/>
    <w:rsid w:val="001F49FE"/>
    <w:rsid w:val="002015DD"/>
    <w:rsid w:val="00202F2C"/>
    <w:rsid w:val="00203D61"/>
    <w:rsid w:val="00204A24"/>
    <w:rsid w:val="00204C0E"/>
    <w:rsid w:val="0020505E"/>
    <w:rsid w:val="0020583C"/>
    <w:rsid w:val="00207B6D"/>
    <w:rsid w:val="00210A78"/>
    <w:rsid w:val="00210C4F"/>
    <w:rsid w:val="002146C2"/>
    <w:rsid w:val="00216FBA"/>
    <w:rsid w:val="00217E28"/>
    <w:rsid w:val="002209BB"/>
    <w:rsid w:val="00223B86"/>
    <w:rsid w:val="0022633A"/>
    <w:rsid w:val="0022635C"/>
    <w:rsid w:val="002276AB"/>
    <w:rsid w:val="00240B37"/>
    <w:rsid w:val="00243A97"/>
    <w:rsid w:val="0024498E"/>
    <w:rsid w:val="002475FD"/>
    <w:rsid w:val="00250DB1"/>
    <w:rsid w:val="002523B8"/>
    <w:rsid w:val="002539E5"/>
    <w:rsid w:val="00256ED7"/>
    <w:rsid w:val="00257A16"/>
    <w:rsid w:val="002635A1"/>
    <w:rsid w:val="0026414A"/>
    <w:rsid w:val="002818BA"/>
    <w:rsid w:val="00284590"/>
    <w:rsid w:val="002851ED"/>
    <w:rsid w:val="00286C3A"/>
    <w:rsid w:val="00287B4C"/>
    <w:rsid w:val="00290A0A"/>
    <w:rsid w:val="00295C57"/>
    <w:rsid w:val="0029644B"/>
    <w:rsid w:val="00297323"/>
    <w:rsid w:val="002A0B72"/>
    <w:rsid w:val="002A3045"/>
    <w:rsid w:val="002A4723"/>
    <w:rsid w:val="002B148F"/>
    <w:rsid w:val="002B26B9"/>
    <w:rsid w:val="002B2E32"/>
    <w:rsid w:val="002B40C5"/>
    <w:rsid w:val="002B4335"/>
    <w:rsid w:val="002B5C6E"/>
    <w:rsid w:val="002B6877"/>
    <w:rsid w:val="002C0BC2"/>
    <w:rsid w:val="002C1DD6"/>
    <w:rsid w:val="002D3EB9"/>
    <w:rsid w:val="002D6FC3"/>
    <w:rsid w:val="002D71AC"/>
    <w:rsid w:val="002E2AE8"/>
    <w:rsid w:val="002E3FF2"/>
    <w:rsid w:val="002F155F"/>
    <w:rsid w:val="002F2F7D"/>
    <w:rsid w:val="002F4112"/>
    <w:rsid w:val="00305195"/>
    <w:rsid w:val="0031116B"/>
    <w:rsid w:val="00311181"/>
    <w:rsid w:val="0031229F"/>
    <w:rsid w:val="003130D6"/>
    <w:rsid w:val="003149DB"/>
    <w:rsid w:val="0032097F"/>
    <w:rsid w:val="00321DB3"/>
    <w:rsid w:val="00321FE4"/>
    <w:rsid w:val="003238B4"/>
    <w:rsid w:val="003246C7"/>
    <w:rsid w:val="003310F3"/>
    <w:rsid w:val="00333D10"/>
    <w:rsid w:val="0033621E"/>
    <w:rsid w:val="0033621F"/>
    <w:rsid w:val="00337225"/>
    <w:rsid w:val="003379D6"/>
    <w:rsid w:val="00344A49"/>
    <w:rsid w:val="00345B84"/>
    <w:rsid w:val="00346868"/>
    <w:rsid w:val="00350B7F"/>
    <w:rsid w:val="0035208A"/>
    <w:rsid w:val="0035510C"/>
    <w:rsid w:val="0035617E"/>
    <w:rsid w:val="00356B07"/>
    <w:rsid w:val="0036061A"/>
    <w:rsid w:val="00362393"/>
    <w:rsid w:val="0036243C"/>
    <w:rsid w:val="00363B5E"/>
    <w:rsid w:val="00363DF3"/>
    <w:rsid w:val="00364DE6"/>
    <w:rsid w:val="003659BC"/>
    <w:rsid w:val="00366476"/>
    <w:rsid w:val="0036768B"/>
    <w:rsid w:val="00372D52"/>
    <w:rsid w:val="00374C83"/>
    <w:rsid w:val="00375BC0"/>
    <w:rsid w:val="003761C8"/>
    <w:rsid w:val="00381D5D"/>
    <w:rsid w:val="003846D2"/>
    <w:rsid w:val="00385D24"/>
    <w:rsid w:val="00386B6D"/>
    <w:rsid w:val="00387037"/>
    <w:rsid w:val="00387ECC"/>
    <w:rsid w:val="003914D4"/>
    <w:rsid w:val="00395A6D"/>
    <w:rsid w:val="00396475"/>
    <w:rsid w:val="0039735E"/>
    <w:rsid w:val="003A021B"/>
    <w:rsid w:val="003A2AC8"/>
    <w:rsid w:val="003A3502"/>
    <w:rsid w:val="003A59F6"/>
    <w:rsid w:val="003B3297"/>
    <w:rsid w:val="003B32B5"/>
    <w:rsid w:val="003B46B0"/>
    <w:rsid w:val="003C0DE1"/>
    <w:rsid w:val="003C2264"/>
    <w:rsid w:val="003C687B"/>
    <w:rsid w:val="003C6EF8"/>
    <w:rsid w:val="003D2D98"/>
    <w:rsid w:val="003D3647"/>
    <w:rsid w:val="003D4D40"/>
    <w:rsid w:val="003D71AC"/>
    <w:rsid w:val="003E0B37"/>
    <w:rsid w:val="003E54D9"/>
    <w:rsid w:val="003E5AE5"/>
    <w:rsid w:val="003E5FD6"/>
    <w:rsid w:val="003E6674"/>
    <w:rsid w:val="003F11A3"/>
    <w:rsid w:val="003F13B2"/>
    <w:rsid w:val="003F13DE"/>
    <w:rsid w:val="003F3520"/>
    <w:rsid w:val="003F37D1"/>
    <w:rsid w:val="00400D0D"/>
    <w:rsid w:val="0040411E"/>
    <w:rsid w:val="00405769"/>
    <w:rsid w:val="00405DC2"/>
    <w:rsid w:val="004120F7"/>
    <w:rsid w:val="00413236"/>
    <w:rsid w:val="004141C0"/>
    <w:rsid w:val="00423054"/>
    <w:rsid w:val="00424A48"/>
    <w:rsid w:val="00436BD7"/>
    <w:rsid w:val="00437582"/>
    <w:rsid w:val="00443D46"/>
    <w:rsid w:val="00451205"/>
    <w:rsid w:val="00456705"/>
    <w:rsid w:val="0045768A"/>
    <w:rsid w:val="004637B2"/>
    <w:rsid w:val="004707A9"/>
    <w:rsid w:val="0047417F"/>
    <w:rsid w:val="0047475D"/>
    <w:rsid w:val="004757A2"/>
    <w:rsid w:val="00476DF1"/>
    <w:rsid w:val="0047791C"/>
    <w:rsid w:val="00481FF0"/>
    <w:rsid w:val="004824DC"/>
    <w:rsid w:val="004841CD"/>
    <w:rsid w:val="00484C98"/>
    <w:rsid w:val="004854D6"/>
    <w:rsid w:val="004866F6"/>
    <w:rsid w:val="004966B1"/>
    <w:rsid w:val="004A2C1D"/>
    <w:rsid w:val="004B1B27"/>
    <w:rsid w:val="004B3CBC"/>
    <w:rsid w:val="004B6078"/>
    <w:rsid w:val="004B643F"/>
    <w:rsid w:val="004D6195"/>
    <w:rsid w:val="004D651E"/>
    <w:rsid w:val="004D7835"/>
    <w:rsid w:val="004E28E2"/>
    <w:rsid w:val="004E3CE4"/>
    <w:rsid w:val="004F10B1"/>
    <w:rsid w:val="004F4AE4"/>
    <w:rsid w:val="00502728"/>
    <w:rsid w:val="00503A28"/>
    <w:rsid w:val="00505A6B"/>
    <w:rsid w:val="005115FA"/>
    <w:rsid w:val="0052168A"/>
    <w:rsid w:val="00521D85"/>
    <w:rsid w:val="00522CE2"/>
    <w:rsid w:val="00533746"/>
    <w:rsid w:val="00537B80"/>
    <w:rsid w:val="005415AE"/>
    <w:rsid w:val="00541613"/>
    <w:rsid w:val="00542D2E"/>
    <w:rsid w:val="005449F4"/>
    <w:rsid w:val="00546B44"/>
    <w:rsid w:val="00547223"/>
    <w:rsid w:val="0055372D"/>
    <w:rsid w:val="00553D13"/>
    <w:rsid w:val="00555DE3"/>
    <w:rsid w:val="00556695"/>
    <w:rsid w:val="00562E30"/>
    <w:rsid w:val="00563D76"/>
    <w:rsid w:val="00566CB6"/>
    <w:rsid w:val="005725F4"/>
    <w:rsid w:val="005752E5"/>
    <w:rsid w:val="00577C89"/>
    <w:rsid w:val="0058070C"/>
    <w:rsid w:val="00582E93"/>
    <w:rsid w:val="00585448"/>
    <w:rsid w:val="00585BE4"/>
    <w:rsid w:val="0058698F"/>
    <w:rsid w:val="00586BDC"/>
    <w:rsid w:val="00590629"/>
    <w:rsid w:val="0059276C"/>
    <w:rsid w:val="00594401"/>
    <w:rsid w:val="005949FD"/>
    <w:rsid w:val="00596831"/>
    <w:rsid w:val="00596F3A"/>
    <w:rsid w:val="005A566B"/>
    <w:rsid w:val="005A5F8D"/>
    <w:rsid w:val="005C2A73"/>
    <w:rsid w:val="005C2BB1"/>
    <w:rsid w:val="005C3A44"/>
    <w:rsid w:val="005C432D"/>
    <w:rsid w:val="005D01C4"/>
    <w:rsid w:val="005D1DBE"/>
    <w:rsid w:val="005E0BF1"/>
    <w:rsid w:val="005E1470"/>
    <w:rsid w:val="005E3A32"/>
    <w:rsid w:val="005E3CDA"/>
    <w:rsid w:val="005E651B"/>
    <w:rsid w:val="005F0F09"/>
    <w:rsid w:val="005F58B4"/>
    <w:rsid w:val="005F62E3"/>
    <w:rsid w:val="005F64C4"/>
    <w:rsid w:val="005F6FA8"/>
    <w:rsid w:val="005F790B"/>
    <w:rsid w:val="00604088"/>
    <w:rsid w:val="00612A8A"/>
    <w:rsid w:val="00612F43"/>
    <w:rsid w:val="006142B1"/>
    <w:rsid w:val="00614FA0"/>
    <w:rsid w:val="0061534C"/>
    <w:rsid w:val="00615E0C"/>
    <w:rsid w:val="00616F87"/>
    <w:rsid w:val="00624DDB"/>
    <w:rsid w:val="00630876"/>
    <w:rsid w:val="006358CC"/>
    <w:rsid w:val="00640CA0"/>
    <w:rsid w:val="0064195B"/>
    <w:rsid w:val="0064365C"/>
    <w:rsid w:val="0064376B"/>
    <w:rsid w:val="00650B83"/>
    <w:rsid w:val="006522D3"/>
    <w:rsid w:val="00652E45"/>
    <w:rsid w:val="006548A8"/>
    <w:rsid w:val="00662101"/>
    <w:rsid w:val="00664543"/>
    <w:rsid w:val="00666481"/>
    <w:rsid w:val="0067181A"/>
    <w:rsid w:val="00672F61"/>
    <w:rsid w:val="0067319B"/>
    <w:rsid w:val="00674D1D"/>
    <w:rsid w:val="00676AB9"/>
    <w:rsid w:val="00680427"/>
    <w:rsid w:val="00690E67"/>
    <w:rsid w:val="00691E78"/>
    <w:rsid w:val="006935F2"/>
    <w:rsid w:val="006A773B"/>
    <w:rsid w:val="006B3176"/>
    <w:rsid w:val="006B32BC"/>
    <w:rsid w:val="006B34D1"/>
    <w:rsid w:val="006B7C8C"/>
    <w:rsid w:val="006C1362"/>
    <w:rsid w:val="006C2E26"/>
    <w:rsid w:val="006C44D2"/>
    <w:rsid w:val="006C4E24"/>
    <w:rsid w:val="006C5638"/>
    <w:rsid w:val="006C5ABC"/>
    <w:rsid w:val="006C652B"/>
    <w:rsid w:val="006D01CE"/>
    <w:rsid w:val="006D3025"/>
    <w:rsid w:val="006D376C"/>
    <w:rsid w:val="006E3572"/>
    <w:rsid w:val="006F43D7"/>
    <w:rsid w:val="006F458C"/>
    <w:rsid w:val="006F4A70"/>
    <w:rsid w:val="006F55DC"/>
    <w:rsid w:val="00703FDD"/>
    <w:rsid w:val="007067DF"/>
    <w:rsid w:val="00707B26"/>
    <w:rsid w:val="00713AB1"/>
    <w:rsid w:val="00714C39"/>
    <w:rsid w:val="00715B1E"/>
    <w:rsid w:val="007162AA"/>
    <w:rsid w:val="00721320"/>
    <w:rsid w:val="007216E0"/>
    <w:rsid w:val="00730096"/>
    <w:rsid w:val="00730DB7"/>
    <w:rsid w:val="007313E5"/>
    <w:rsid w:val="00731EFB"/>
    <w:rsid w:val="0073410A"/>
    <w:rsid w:val="007354D9"/>
    <w:rsid w:val="0073796B"/>
    <w:rsid w:val="007441B7"/>
    <w:rsid w:val="00745B4B"/>
    <w:rsid w:val="00747CD3"/>
    <w:rsid w:val="007565FF"/>
    <w:rsid w:val="007604FC"/>
    <w:rsid w:val="00760BA3"/>
    <w:rsid w:val="00762337"/>
    <w:rsid w:val="00762570"/>
    <w:rsid w:val="00767E2B"/>
    <w:rsid w:val="00771700"/>
    <w:rsid w:val="00774E0B"/>
    <w:rsid w:val="007802C7"/>
    <w:rsid w:val="00780E81"/>
    <w:rsid w:val="00783188"/>
    <w:rsid w:val="00792B48"/>
    <w:rsid w:val="00795024"/>
    <w:rsid w:val="007978C8"/>
    <w:rsid w:val="007A6B24"/>
    <w:rsid w:val="007A71BE"/>
    <w:rsid w:val="007B4609"/>
    <w:rsid w:val="007C255F"/>
    <w:rsid w:val="007C2F97"/>
    <w:rsid w:val="007C3B26"/>
    <w:rsid w:val="007C7797"/>
    <w:rsid w:val="007D4078"/>
    <w:rsid w:val="007D4B51"/>
    <w:rsid w:val="007D7E57"/>
    <w:rsid w:val="007E1414"/>
    <w:rsid w:val="007E2034"/>
    <w:rsid w:val="007E3D5B"/>
    <w:rsid w:val="007E6747"/>
    <w:rsid w:val="007F38D4"/>
    <w:rsid w:val="007F6A27"/>
    <w:rsid w:val="00811759"/>
    <w:rsid w:val="00814132"/>
    <w:rsid w:val="008163B3"/>
    <w:rsid w:val="00816575"/>
    <w:rsid w:val="008200DB"/>
    <w:rsid w:val="0082203B"/>
    <w:rsid w:val="008228C3"/>
    <w:rsid w:val="00825BBE"/>
    <w:rsid w:val="00831945"/>
    <w:rsid w:val="00832F9D"/>
    <w:rsid w:val="00833561"/>
    <w:rsid w:val="00840236"/>
    <w:rsid w:val="00843FF9"/>
    <w:rsid w:val="0085427C"/>
    <w:rsid w:val="00854447"/>
    <w:rsid w:val="00854A02"/>
    <w:rsid w:val="00856547"/>
    <w:rsid w:val="00861290"/>
    <w:rsid w:val="0086383A"/>
    <w:rsid w:val="0086416D"/>
    <w:rsid w:val="008666E9"/>
    <w:rsid w:val="00866CB9"/>
    <w:rsid w:val="0087436E"/>
    <w:rsid w:val="00877500"/>
    <w:rsid w:val="00881696"/>
    <w:rsid w:val="00883338"/>
    <w:rsid w:val="00891476"/>
    <w:rsid w:val="00891C4A"/>
    <w:rsid w:val="00894A17"/>
    <w:rsid w:val="00895F59"/>
    <w:rsid w:val="00896E9A"/>
    <w:rsid w:val="008977D5"/>
    <w:rsid w:val="008A1536"/>
    <w:rsid w:val="008A2027"/>
    <w:rsid w:val="008A2309"/>
    <w:rsid w:val="008A3BDD"/>
    <w:rsid w:val="008A3F8B"/>
    <w:rsid w:val="008A443B"/>
    <w:rsid w:val="008A5AFA"/>
    <w:rsid w:val="008B0B2F"/>
    <w:rsid w:val="008B37B6"/>
    <w:rsid w:val="008B4756"/>
    <w:rsid w:val="008B6AE4"/>
    <w:rsid w:val="008B7FD1"/>
    <w:rsid w:val="008C0F91"/>
    <w:rsid w:val="008C3767"/>
    <w:rsid w:val="008C45B0"/>
    <w:rsid w:val="008C463F"/>
    <w:rsid w:val="008C4966"/>
    <w:rsid w:val="008C54D4"/>
    <w:rsid w:val="008C68D4"/>
    <w:rsid w:val="008D3AA0"/>
    <w:rsid w:val="008D4085"/>
    <w:rsid w:val="008D4D60"/>
    <w:rsid w:val="008E2FC7"/>
    <w:rsid w:val="008E72CE"/>
    <w:rsid w:val="008F0256"/>
    <w:rsid w:val="008F0BE4"/>
    <w:rsid w:val="008F1543"/>
    <w:rsid w:val="008F1BD4"/>
    <w:rsid w:val="008F2E47"/>
    <w:rsid w:val="008F5C3D"/>
    <w:rsid w:val="008F6355"/>
    <w:rsid w:val="008F72F0"/>
    <w:rsid w:val="009020D9"/>
    <w:rsid w:val="00902626"/>
    <w:rsid w:val="00903636"/>
    <w:rsid w:val="00903D61"/>
    <w:rsid w:val="00910355"/>
    <w:rsid w:val="00913C70"/>
    <w:rsid w:val="00914755"/>
    <w:rsid w:val="00920907"/>
    <w:rsid w:val="00922133"/>
    <w:rsid w:val="0092571C"/>
    <w:rsid w:val="00926B95"/>
    <w:rsid w:val="00926C01"/>
    <w:rsid w:val="00930535"/>
    <w:rsid w:val="00930D39"/>
    <w:rsid w:val="00932BE9"/>
    <w:rsid w:val="00932D06"/>
    <w:rsid w:val="00940A39"/>
    <w:rsid w:val="009439D2"/>
    <w:rsid w:val="00944873"/>
    <w:rsid w:val="0094574D"/>
    <w:rsid w:val="00950D85"/>
    <w:rsid w:val="00951D61"/>
    <w:rsid w:val="00952AF0"/>
    <w:rsid w:val="00956766"/>
    <w:rsid w:val="00960A77"/>
    <w:rsid w:val="009626D7"/>
    <w:rsid w:val="00966C01"/>
    <w:rsid w:val="00967682"/>
    <w:rsid w:val="0097019C"/>
    <w:rsid w:val="0097149A"/>
    <w:rsid w:val="00972123"/>
    <w:rsid w:val="009772E5"/>
    <w:rsid w:val="00984297"/>
    <w:rsid w:val="00984441"/>
    <w:rsid w:val="00985EB7"/>
    <w:rsid w:val="00991B7B"/>
    <w:rsid w:val="00992EFF"/>
    <w:rsid w:val="00993279"/>
    <w:rsid w:val="00993F4D"/>
    <w:rsid w:val="00994E93"/>
    <w:rsid w:val="009A03B0"/>
    <w:rsid w:val="009A1BF9"/>
    <w:rsid w:val="009A4A1B"/>
    <w:rsid w:val="009A69D7"/>
    <w:rsid w:val="009A6F92"/>
    <w:rsid w:val="009B3405"/>
    <w:rsid w:val="009B6C7F"/>
    <w:rsid w:val="009C10E3"/>
    <w:rsid w:val="009C3BC4"/>
    <w:rsid w:val="009C3FE0"/>
    <w:rsid w:val="009D0CF9"/>
    <w:rsid w:val="009D601B"/>
    <w:rsid w:val="009D64A0"/>
    <w:rsid w:val="009E2FE4"/>
    <w:rsid w:val="009E599E"/>
    <w:rsid w:val="009E5F3D"/>
    <w:rsid w:val="009F225F"/>
    <w:rsid w:val="009F590C"/>
    <w:rsid w:val="009F7748"/>
    <w:rsid w:val="009F7EB2"/>
    <w:rsid w:val="00A01233"/>
    <w:rsid w:val="00A0141E"/>
    <w:rsid w:val="00A01D5C"/>
    <w:rsid w:val="00A02E77"/>
    <w:rsid w:val="00A0419E"/>
    <w:rsid w:val="00A04422"/>
    <w:rsid w:val="00A04B77"/>
    <w:rsid w:val="00A058B4"/>
    <w:rsid w:val="00A10BFF"/>
    <w:rsid w:val="00A20C6A"/>
    <w:rsid w:val="00A2410F"/>
    <w:rsid w:val="00A276BF"/>
    <w:rsid w:val="00A30917"/>
    <w:rsid w:val="00A31B6C"/>
    <w:rsid w:val="00A37AB0"/>
    <w:rsid w:val="00A46809"/>
    <w:rsid w:val="00A51E24"/>
    <w:rsid w:val="00A5369C"/>
    <w:rsid w:val="00A5390C"/>
    <w:rsid w:val="00A53A17"/>
    <w:rsid w:val="00A54036"/>
    <w:rsid w:val="00A556DB"/>
    <w:rsid w:val="00A576AA"/>
    <w:rsid w:val="00A57FBC"/>
    <w:rsid w:val="00A64211"/>
    <w:rsid w:val="00A65E85"/>
    <w:rsid w:val="00A66BC4"/>
    <w:rsid w:val="00A7166D"/>
    <w:rsid w:val="00A7223B"/>
    <w:rsid w:val="00A73A0C"/>
    <w:rsid w:val="00A74163"/>
    <w:rsid w:val="00A750FC"/>
    <w:rsid w:val="00A770B8"/>
    <w:rsid w:val="00A77306"/>
    <w:rsid w:val="00A816AF"/>
    <w:rsid w:val="00A938D7"/>
    <w:rsid w:val="00A95E21"/>
    <w:rsid w:val="00A963CC"/>
    <w:rsid w:val="00A973ED"/>
    <w:rsid w:val="00AA1549"/>
    <w:rsid w:val="00AA298D"/>
    <w:rsid w:val="00AA3E9F"/>
    <w:rsid w:val="00AA528C"/>
    <w:rsid w:val="00AB3E08"/>
    <w:rsid w:val="00AB6645"/>
    <w:rsid w:val="00AC1646"/>
    <w:rsid w:val="00AC62F9"/>
    <w:rsid w:val="00AD0773"/>
    <w:rsid w:val="00AD279E"/>
    <w:rsid w:val="00AD710C"/>
    <w:rsid w:val="00AD78CE"/>
    <w:rsid w:val="00AE2DB1"/>
    <w:rsid w:val="00AE4CFB"/>
    <w:rsid w:val="00AE703E"/>
    <w:rsid w:val="00AE7F95"/>
    <w:rsid w:val="00AF25B0"/>
    <w:rsid w:val="00AF477A"/>
    <w:rsid w:val="00AF5F66"/>
    <w:rsid w:val="00B00E48"/>
    <w:rsid w:val="00B014DB"/>
    <w:rsid w:val="00B022ED"/>
    <w:rsid w:val="00B02A84"/>
    <w:rsid w:val="00B042C7"/>
    <w:rsid w:val="00B06711"/>
    <w:rsid w:val="00B10EA7"/>
    <w:rsid w:val="00B13690"/>
    <w:rsid w:val="00B140A7"/>
    <w:rsid w:val="00B142D8"/>
    <w:rsid w:val="00B2385A"/>
    <w:rsid w:val="00B26C4F"/>
    <w:rsid w:val="00B30C8B"/>
    <w:rsid w:val="00B310A6"/>
    <w:rsid w:val="00B349C7"/>
    <w:rsid w:val="00B372FB"/>
    <w:rsid w:val="00B37D81"/>
    <w:rsid w:val="00B40D77"/>
    <w:rsid w:val="00B45CA4"/>
    <w:rsid w:val="00B4617F"/>
    <w:rsid w:val="00B55C7D"/>
    <w:rsid w:val="00B55EFF"/>
    <w:rsid w:val="00B60C29"/>
    <w:rsid w:val="00B70403"/>
    <w:rsid w:val="00B70D65"/>
    <w:rsid w:val="00B71284"/>
    <w:rsid w:val="00B72B56"/>
    <w:rsid w:val="00B73D8E"/>
    <w:rsid w:val="00B82EE6"/>
    <w:rsid w:val="00B834D6"/>
    <w:rsid w:val="00B85890"/>
    <w:rsid w:val="00B864D1"/>
    <w:rsid w:val="00B900B0"/>
    <w:rsid w:val="00B91240"/>
    <w:rsid w:val="00B9153B"/>
    <w:rsid w:val="00B91907"/>
    <w:rsid w:val="00B92176"/>
    <w:rsid w:val="00B9247E"/>
    <w:rsid w:val="00B95CCA"/>
    <w:rsid w:val="00B96DC1"/>
    <w:rsid w:val="00B97C3A"/>
    <w:rsid w:val="00BA1DAB"/>
    <w:rsid w:val="00BA2DCF"/>
    <w:rsid w:val="00BA4CFF"/>
    <w:rsid w:val="00BA5F4D"/>
    <w:rsid w:val="00BA6061"/>
    <w:rsid w:val="00BA7CE3"/>
    <w:rsid w:val="00BB0151"/>
    <w:rsid w:val="00BB1C2A"/>
    <w:rsid w:val="00BB2FDD"/>
    <w:rsid w:val="00BC039C"/>
    <w:rsid w:val="00BC05B3"/>
    <w:rsid w:val="00BC0F83"/>
    <w:rsid w:val="00BC599D"/>
    <w:rsid w:val="00BC7C35"/>
    <w:rsid w:val="00BC7D45"/>
    <w:rsid w:val="00BD0B21"/>
    <w:rsid w:val="00BD0C9B"/>
    <w:rsid w:val="00BD102B"/>
    <w:rsid w:val="00BD28BF"/>
    <w:rsid w:val="00BD3BC2"/>
    <w:rsid w:val="00BD3EEB"/>
    <w:rsid w:val="00BD7479"/>
    <w:rsid w:val="00BE1D29"/>
    <w:rsid w:val="00BE2007"/>
    <w:rsid w:val="00BE30AD"/>
    <w:rsid w:val="00BE3534"/>
    <w:rsid w:val="00BE57D3"/>
    <w:rsid w:val="00C037C7"/>
    <w:rsid w:val="00C042C2"/>
    <w:rsid w:val="00C13920"/>
    <w:rsid w:val="00C16794"/>
    <w:rsid w:val="00C17868"/>
    <w:rsid w:val="00C21B15"/>
    <w:rsid w:val="00C22453"/>
    <w:rsid w:val="00C255E2"/>
    <w:rsid w:val="00C25FB8"/>
    <w:rsid w:val="00C310C5"/>
    <w:rsid w:val="00C33D5D"/>
    <w:rsid w:val="00C415E9"/>
    <w:rsid w:val="00C452CC"/>
    <w:rsid w:val="00C473ED"/>
    <w:rsid w:val="00C531FE"/>
    <w:rsid w:val="00C545D8"/>
    <w:rsid w:val="00C5649F"/>
    <w:rsid w:val="00C575B3"/>
    <w:rsid w:val="00C65A23"/>
    <w:rsid w:val="00C715B8"/>
    <w:rsid w:val="00C73655"/>
    <w:rsid w:val="00C739AB"/>
    <w:rsid w:val="00C81BFE"/>
    <w:rsid w:val="00C81D33"/>
    <w:rsid w:val="00C85E6A"/>
    <w:rsid w:val="00C8685E"/>
    <w:rsid w:val="00C92678"/>
    <w:rsid w:val="00C936BB"/>
    <w:rsid w:val="00C947F5"/>
    <w:rsid w:val="00CA0D54"/>
    <w:rsid w:val="00CA254D"/>
    <w:rsid w:val="00CA36C0"/>
    <w:rsid w:val="00CB0324"/>
    <w:rsid w:val="00CB4B5B"/>
    <w:rsid w:val="00CB7F0B"/>
    <w:rsid w:val="00CC2CC4"/>
    <w:rsid w:val="00CC3973"/>
    <w:rsid w:val="00CC41F1"/>
    <w:rsid w:val="00CC4AC6"/>
    <w:rsid w:val="00CC5826"/>
    <w:rsid w:val="00CC59E0"/>
    <w:rsid w:val="00CC73D6"/>
    <w:rsid w:val="00CD258B"/>
    <w:rsid w:val="00CD3776"/>
    <w:rsid w:val="00CD4859"/>
    <w:rsid w:val="00CE0DA7"/>
    <w:rsid w:val="00CF5F95"/>
    <w:rsid w:val="00CF7EEB"/>
    <w:rsid w:val="00D01DEA"/>
    <w:rsid w:val="00D02662"/>
    <w:rsid w:val="00D03FD6"/>
    <w:rsid w:val="00D04135"/>
    <w:rsid w:val="00D043D0"/>
    <w:rsid w:val="00D076DB"/>
    <w:rsid w:val="00D15BCF"/>
    <w:rsid w:val="00D170C9"/>
    <w:rsid w:val="00D22694"/>
    <w:rsid w:val="00D23529"/>
    <w:rsid w:val="00D23912"/>
    <w:rsid w:val="00D24ED2"/>
    <w:rsid w:val="00D26F9B"/>
    <w:rsid w:val="00D27248"/>
    <w:rsid w:val="00D321D5"/>
    <w:rsid w:val="00D34600"/>
    <w:rsid w:val="00D41C40"/>
    <w:rsid w:val="00D42DEB"/>
    <w:rsid w:val="00D52075"/>
    <w:rsid w:val="00D52BF2"/>
    <w:rsid w:val="00D53004"/>
    <w:rsid w:val="00D54195"/>
    <w:rsid w:val="00D56A95"/>
    <w:rsid w:val="00D573D5"/>
    <w:rsid w:val="00D63BBC"/>
    <w:rsid w:val="00D6692B"/>
    <w:rsid w:val="00D66B3C"/>
    <w:rsid w:val="00D6742F"/>
    <w:rsid w:val="00D67D8D"/>
    <w:rsid w:val="00D713BA"/>
    <w:rsid w:val="00D72214"/>
    <w:rsid w:val="00D73D71"/>
    <w:rsid w:val="00D75D71"/>
    <w:rsid w:val="00D764D4"/>
    <w:rsid w:val="00D81507"/>
    <w:rsid w:val="00D81D71"/>
    <w:rsid w:val="00D86238"/>
    <w:rsid w:val="00D87F72"/>
    <w:rsid w:val="00D900C5"/>
    <w:rsid w:val="00D91C5E"/>
    <w:rsid w:val="00D955EE"/>
    <w:rsid w:val="00D95E55"/>
    <w:rsid w:val="00DA0E69"/>
    <w:rsid w:val="00DA134F"/>
    <w:rsid w:val="00DA285E"/>
    <w:rsid w:val="00DA7426"/>
    <w:rsid w:val="00DB28FC"/>
    <w:rsid w:val="00DB2B2D"/>
    <w:rsid w:val="00DB48E5"/>
    <w:rsid w:val="00DC27B1"/>
    <w:rsid w:val="00DC298D"/>
    <w:rsid w:val="00DC6A28"/>
    <w:rsid w:val="00DD1ACE"/>
    <w:rsid w:val="00DD2B41"/>
    <w:rsid w:val="00DD37F4"/>
    <w:rsid w:val="00DD5103"/>
    <w:rsid w:val="00DD5C76"/>
    <w:rsid w:val="00DE08CA"/>
    <w:rsid w:val="00DE0BAB"/>
    <w:rsid w:val="00DE19FD"/>
    <w:rsid w:val="00DE232F"/>
    <w:rsid w:val="00DE242B"/>
    <w:rsid w:val="00DE701B"/>
    <w:rsid w:val="00DF0D7D"/>
    <w:rsid w:val="00DF0F00"/>
    <w:rsid w:val="00DF2309"/>
    <w:rsid w:val="00DF4D6A"/>
    <w:rsid w:val="00DF6027"/>
    <w:rsid w:val="00E01054"/>
    <w:rsid w:val="00E014EF"/>
    <w:rsid w:val="00E03534"/>
    <w:rsid w:val="00E035E2"/>
    <w:rsid w:val="00E0497B"/>
    <w:rsid w:val="00E04B7C"/>
    <w:rsid w:val="00E0509B"/>
    <w:rsid w:val="00E05FE1"/>
    <w:rsid w:val="00E107A0"/>
    <w:rsid w:val="00E11372"/>
    <w:rsid w:val="00E155B3"/>
    <w:rsid w:val="00E1609E"/>
    <w:rsid w:val="00E24EFB"/>
    <w:rsid w:val="00E32208"/>
    <w:rsid w:val="00E33CC9"/>
    <w:rsid w:val="00E36727"/>
    <w:rsid w:val="00E36D36"/>
    <w:rsid w:val="00E400ED"/>
    <w:rsid w:val="00E412AF"/>
    <w:rsid w:val="00E41C17"/>
    <w:rsid w:val="00E4429B"/>
    <w:rsid w:val="00E445D1"/>
    <w:rsid w:val="00E504B0"/>
    <w:rsid w:val="00E51656"/>
    <w:rsid w:val="00E51D15"/>
    <w:rsid w:val="00E52B7C"/>
    <w:rsid w:val="00E57DF0"/>
    <w:rsid w:val="00E60AB9"/>
    <w:rsid w:val="00E64F2E"/>
    <w:rsid w:val="00E65F7E"/>
    <w:rsid w:val="00E66111"/>
    <w:rsid w:val="00E669D6"/>
    <w:rsid w:val="00E709C6"/>
    <w:rsid w:val="00E74D27"/>
    <w:rsid w:val="00E82499"/>
    <w:rsid w:val="00E83484"/>
    <w:rsid w:val="00E853B6"/>
    <w:rsid w:val="00E917EA"/>
    <w:rsid w:val="00E9218D"/>
    <w:rsid w:val="00E92855"/>
    <w:rsid w:val="00E93FC9"/>
    <w:rsid w:val="00E93FD1"/>
    <w:rsid w:val="00E9498A"/>
    <w:rsid w:val="00EA6EAF"/>
    <w:rsid w:val="00EA7883"/>
    <w:rsid w:val="00EB00FB"/>
    <w:rsid w:val="00EB22E8"/>
    <w:rsid w:val="00EB3501"/>
    <w:rsid w:val="00EB4A37"/>
    <w:rsid w:val="00EB4BB0"/>
    <w:rsid w:val="00EC362A"/>
    <w:rsid w:val="00EC3EB3"/>
    <w:rsid w:val="00EC71C0"/>
    <w:rsid w:val="00EC7EAA"/>
    <w:rsid w:val="00ED0E15"/>
    <w:rsid w:val="00EE4919"/>
    <w:rsid w:val="00EE66BD"/>
    <w:rsid w:val="00EE7A26"/>
    <w:rsid w:val="00EE7CF0"/>
    <w:rsid w:val="00EF1BB8"/>
    <w:rsid w:val="00EF212B"/>
    <w:rsid w:val="00EF4A3D"/>
    <w:rsid w:val="00EF5032"/>
    <w:rsid w:val="00EF50E0"/>
    <w:rsid w:val="00EF6796"/>
    <w:rsid w:val="00F01391"/>
    <w:rsid w:val="00F1382A"/>
    <w:rsid w:val="00F16E32"/>
    <w:rsid w:val="00F173B3"/>
    <w:rsid w:val="00F209CA"/>
    <w:rsid w:val="00F20D53"/>
    <w:rsid w:val="00F214FD"/>
    <w:rsid w:val="00F2172C"/>
    <w:rsid w:val="00F22C16"/>
    <w:rsid w:val="00F319E1"/>
    <w:rsid w:val="00F333AC"/>
    <w:rsid w:val="00F335E5"/>
    <w:rsid w:val="00F35030"/>
    <w:rsid w:val="00F36D4A"/>
    <w:rsid w:val="00F3777F"/>
    <w:rsid w:val="00F40EBF"/>
    <w:rsid w:val="00F43010"/>
    <w:rsid w:val="00F44565"/>
    <w:rsid w:val="00F45643"/>
    <w:rsid w:val="00F47FF7"/>
    <w:rsid w:val="00F506F4"/>
    <w:rsid w:val="00F553E0"/>
    <w:rsid w:val="00F5682B"/>
    <w:rsid w:val="00F56AFC"/>
    <w:rsid w:val="00F6126E"/>
    <w:rsid w:val="00F64D22"/>
    <w:rsid w:val="00F71D91"/>
    <w:rsid w:val="00F71F44"/>
    <w:rsid w:val="00F74F06"/>
    <w:rsid w:val="00F81529"/>
    <w:rsid w:val="00F81A96"/>
    <w:rsid w:val="00F826EA"/>
    <w:rsid w:val="00F82F9A"/>
    <w:rsid w:val="00F845AB"/>
    <w:rsid w:val="00F87702"/>
    <w:rsid w:val="00F90BB6"/>
    <w:rsid w:val="00F922CE"/>
    <w:rsid w:val="00F92538"/>
    <w:rsid w:val="00F9511A"/>
    <w:rsid w:val="00FA5269"/>
    <w:rsid w:val="00FB23E7"/>
    <w:rsid w:val="00FB561E"/>
    <w:rsid w:val="00FB5647"/>
    <w:rsid w:val="00FB5E4C"/>
    <w:rsid w:val="00FC0AD4"/>
    <w:rsid w:val="00FC27BD"/>
    <w:rsid w:val="00FC2F32"/>
    <w:rsid w:val="00FC53E6"/>
    <w:rsid w:val="00FD0235"/>
    <w:rsid w:val="00FD19B4"/>
    <w:rsid w:val="00FD3079"/>
    <w:rsid w:val="00FD5F35"/>
    <w:rsid w:val="00FD5F90"/>
    <w:rsid w:val="00FD6DFB"/>
    <w:rsid w:val="00FE01BA"/>
    <w:rsid w:val="00FE1CDE"/>
    <w:rsid w:val="00FE3E04"/>
    <w:rsid w:val="00FE45ED"/>
    <w:rsid w:val="00FE4AE1"/>
    <w:rsid w:val="00FE58BB"/>
    <w:rsid w:val="00FF0E47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015DD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5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845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845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83188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920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92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1392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139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1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5510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5510C"/>
    <w:rPr>
      <w:vertAlign w:val="superscript"/>
    </w:rPr>
  </w:style>
  <w:style w:type="character" w:styleId="Hipercze">
    <w:name w:val="Hyperlink"/>
    <w:uiPriority w:val="99"/>
    <w:unhideWhenUsed/>
    <w:rsid w:val="00F877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85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85D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D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D24"/>
    <w:rPr>
      <w:sz w:val="22"/>
      <w:szCs w:val="22"/>
      <w:lang w:eastAsia="en-US"/>
    </w:rPr>
  </w:style>
  <w:style w:type="character" w:styleId="Wyrnienieintensywne">
    <w:name w:val="Intense Emphasis"/>
    <w:uiPriority w:val="21"/>
    <w:qFormat/>
    <w:rsid w:val="00284590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28459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8459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284590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45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284590"/>
    <w:rPr>
      <w:b/>
      <w:bCs/>
      <w:i/>
      <w:iCs/>
      <w:color w:val="4F81BD"/>
      <w:sz w:val="22"/>
      <w:szCs w:val="22"/>
      <w:lang w:eastAsia="en-US"/>
    </w:rPr>
  </w:style>
  <w:style w:type="character" w:styleId="Odwoanieintensywne">
    <w:name w:val="Intense Reference"/>
    <w:uiPriority w:val="32"/>
    <w:qFormat/>
    <w:rsid w:val="00284590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284590"/>
    <w:rPr>
      <w:smallCaps/>
      <w:color w:val="C0504D"/>
      <w:u w:val="single"/>
    </w:rPr>
  </w:style>
  <w:style w:type="paragraph" w:styleId="Bezodstpw">
    <w:name w:val="No Spacing"/>
    <w:uiPriority w:val="1"/>
    <w:qFormat/>
    <w:rsid w:val="00284590"/>
    <w:pPr>
      <w:spacing w:line="360" w:lineRule="auto"/>
      <w:jc w:val="both"/>
    </w:pPr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2845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2845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2845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28459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84590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284590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284590"/>
    <w:pPr>
      <w:spacing w:after="100"/>
      <w:ind w:left="44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459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nhideWhenUsed/>
    <w:rsid w:val="00A53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369C"/>
    <w:rPr>
      <w:sz w:val="20"/>
      <w:szCs w:val="20"/>
    </w:rPr>
  </w:style>
  <w:style w:type="character" w:customStyle="1" w:styleId="TekstkomentarzaZnak">
    <w:name w:val="Tekst komentarza Znak"/>
    <w:link w:val="Tekstkomentarza"/>
    <w:rsid w:val="00A536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6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369C"/>
    <w:rPr>
      <w:b/>
      <w:bCs/>
      <w:lang w:eastAsia="en-US"/>
    </w:rPr>
  </w:style>
  <w:style w:type="paragraph" w:customStyle="1" w:styleId="tresc">
    <w:name w:val="tresc"/>
    <w:basedOn w:val="Normalny"/>
    <w:rsid w:val="00051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83188"/>
    <w:rPr>
      <w:rFonts w:eastAsia="Times New Roman"/>
      <w:b/>
      <w:bCs/>
      <w:sz w:val="28"/>
      <w:szCs w:val="28"/>
      <w:lang w:eastAsia="en-US"/>
    </w:rPr>
  </w:style>
  <w:style w:type="paragraph" w:customStyle="1" w:styleId="normalnyzwciciem">
    <w:name w:val="normalny z wcięciem"/>
    <w:basedOn w:val="Normalny"/>
    <w:link w:val="normalnyzwciciemZnak"/>
    <w:qFormat/>
    <w:rsid w:val="00783188"/>
    <w:pPr>
      <w:spacing w:after="12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normalnyzwciciemZnak">
    <w:name w:val="normalny z wcięciem Znak"/>
    <w:link w:val="normalnyzwciciem"/>
    <w:rsid w:val="00783188"/>
    <w:rPr>
      <w:rFonts w:ascii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783188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Znak">
    <w:name w:val="Tekst podstawowy Znak"/>
    <w:link w:val="Tekstpodstawowy"/>
    <w:rsid w:val="00783188"/>
    <w:rPr>
      <w:rFonts w:ascii="Times New Roman" w:eastAsia="Times New Roman" w:hAnsi="Times New Roman"/>
      <w:i/>
      <w:sz w:val="24"/>
    </w:rPr>
  </w:style>
  <w:style w:type="paragraph" w:styleId="NormalnyWeb">
    <w:name w:val="Normal (Web)"/>
    <w:basedOn w:val="Normalny"/>
    <w:uiPriority w:val="99"/>
    <w:unhideWhenUsed/>
    <w:rsid w:val="00D41C40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Body">
    <w:name w:val="Body"/>
    <w:rsid w:val="002F2F7D"/>
    <w:rPr>
      <w:rFonts w:ascii="Helvetica" w:eastAsia="ヒラギノ角ゴ Pro W3" w:hAnsi="Helvetica"/>
      <w:color w:val="000000"/>
      <w:sz w:val="24"/>
    </w:rPr>
  </w:style>
  <w:style w:type="table" w:styleId="Tabela-Siatka">
    <w:name w:val="Table Grid"/>
    <w:basedOn w:val="Standardowy"/>
    <w:uiPriority w:val="59"/>
    <w:rsid w:val="00592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AF477A"/>
    <w:rPr>
      <w:rFonts w:ascii="Book Antiqua" w:hAnsi="Book Antiqua" w:cs="Book Antiqua"/>
      <w:sz w:val="16"/>
      <w:szCs w:val="16"/>
    </w:rPr>
  </w:style>
  <w:style w:type="paragraph" w:customStyle="1" w:styleId="Style6">
    <w:name w:val="Style6"/>
    <w:basedOn w:val="Normalny"/>
    <w:uiPriority w:val="99"/>
    <w:rsid w:val="00AF477A"/>
    <w:pPr>
      <w:widowControl w:val="0"/>
      <w:autoSpaceDE w:val="0"/>
      <w:autoSpaceDN w:val="0"/>
      <w:adjustRightInd w:val="0"/>
      <w:spacing w:after="0" w:line="213" w:lineRule="exact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Default">
    <w:name w:val="Default"/>
    <w:rsid w:val="003C2264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C2264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C2264"/>
    <w:rPr>
      <w:rFonts w:cs="Times New Roman"/>
      <w:color w:val="auto"/>
    </w:rPr>
  </w:style>
  <w:style w:type="character" w:customStyle="1" w:styleId="list1text">
    <w:name w:val="list1text"/>
    <w:basedOn w:val="Domylnaczcionkaakapitu"/>
    <w:rsid w:val="00F16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1267">
              <w:marLeft w:val="0"/>
              <w:marRight w:val="0"/>
              <w:marTop w:val="10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1747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01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730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8192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4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2497">
              <w:marLeft w:val="0"/>
              <w:marRight w:val="0"/>
              <w:marTop w:val="10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1069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7927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51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3395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Microsoft</Company>
  <LinksUpToDate>false</LinksUpToDate>
  <CharactersWithSpaces>23722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creator>mdydo</dc:creator>
  <cp:lastModifiedBy>kkajda</cp:lastModifiedBy>
  <cp:revision>6</cp:revision>
  <cp:lastPrinted>2013-03-22T13:37:00Z</cp:lastPrinted>
  <dcterms:created xsi:type="dcterms:W3CDTF">2013-04-30T11:39:00Z</dcterms:created>
  <dcterms:modified xsi:type="dcterms:W3CDTF">2013-04-30T12:09:00Z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