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26" w:rsidRDefault="00075226" w:rsidP="00075226">
      <w:pPr>
        <w:rPr>
          <w:sz w:val="24"/>
          <w:szCs w:val="24"/>
        </w:rPr>
      </w:pPr>
      <w:r>
        <w:rPr>
          <w:sz w:val="24"/>
          <w:szCs w:val="24"/>
        </w:rPr>
        <w:t>Szanowni Państwo,</w:t>
      </w:r>
    </w:p>
    <w:p w:rsidR="00075226" w:rsidRDefault="00075226" w:rsidP="00075226">
      <w:pPr>
        <w:rPr>
          <w:sz w:val="24"/>
          <w:szCs w:val="24"/>
        </w:rPr>
      </w:pPr>
    </w:p>
    <w:p w:rsidR="00075226" w:rsidRDefault="00075226" w:rsidP="0007522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W odpowiedzi na pismo z 23 grudnia 2015 r. w sprawie opinii na temat komunikatu Komisji Europejskiej „W kierunku nowoczesnych, bardziej europejskich ram prawa autorskiego” oraz projektu tekstu Rozporządzenia Parlamentu Europejskiego i Rady w sprawie zapewnienia możliwości transgranicznego przenoszenia na rynku wewnętrznym usług online w zakresie treści pragnę przedstawić stanowisko Biblioteki Narodowej w przedmiotowej kwestii.</w:t>
      </w:r>
    </w:p>
    <w:p w:rsidR="00075226" w:rsidRDefault="00075226" w:rsidP="00075226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Biblioteka Narodowa w pełni popiera tezy zawarte w Komunikacie Komisji Europejskiej „W kierunku nowoczesnych, bardziej europejskich ram prawa autorskiego” (COM(2015) 626 </w:t>
      </w:r>
      <w:proofErr w:type="spellStart"/>
      <w:r>
        <w:rPr>
          <w:rFonts w:ascii="Calibri" w:hAnsi="Calibri"/>
        </w:rPr>
        <w:t>final</w:t>
      </w:r>
      <w:proofErr w:type="spellEnd"/>
      <w:r>
        <w:rPr>
          <w:rFonts w:ascii="Calibri" w:hAnsi="Calibri"/>
        </w:rPr>
        <w:t>) z 9 grudnia 2015 r. BN popiera ideę transgranicznego przenoszenia usług online utworów audiowizualnych oraz książek i czasopism elektronicznych, ponieważ wszelkie działania mające na celu ułatwienie dostępu do kultury i zwiększanie liczby jej odbiorców wpływają pozytywnie na rozwój czytelnictwa i działalność bibliotek. Szczególnie ważne z punktu widzenia środowiska bibliotek jest rozwój platform licencyjnych, umożliwiający poszerzenie przestrzeni dystrybucji tekstów naukowych i literackich oraz utworów audiowizualnych. BN akceptuje proponowane brzmienie projektu tekstu Rozporządzenia Parlamentu Europejskiego i Rady w sprawie zapewnienia możliwości transgranicznego przenoszenia na rynku wewnętrznym usług online w zakresie treści (2015/0284 (COD).</w:t>
      </w:r>
    </w:p>
    <w:p w:rsidR="00075226" w:rsidRDefault="00075226" w:rsidP="00075226">
      <w:pPr>
        <w:pStyle w:val="Default"/>
        <w:jc w:val="both"/>
        <w:rPr>
          <w:rFonts w:ascii="Calibri" w:hAnsi="Calibri"/>
        </w:rPr>
      </w:pPr>
    </w:p>
    <w:p w:rsidR="00075226" w:rsidRDefault="00075226" w:rsidP="00075226">
      <w:pPr>
        <w:jc w:val="both"/>
        <w:rPr>
          <w:sz w:val="24"/>
          <w:szCs w:val="24"/>
        </w:rPr>
      </w:pPr>
      <w:r>
        <w:rPr>
          <w:sz w:val="24"/>
          <w:szCs w:val="24"/>
        </w:rPr>
        <w:t>Podkreślić należy, że dla środowiska użytkowników bibliotek szczególne znaczenie mają plany sformułowane w rozdziale 3 Komunikatu „Dostosowanie wyjątków do otoczenia cyfrowego i środowiska transgranicznego”, obejmujące opracowanie w ciągu najbliższych miesięcy założeń wspierających prawną regulację następujących kwestii:</w:t>
      </w:r>
    </w:p>
    <w:p w:rsidR="00075226" w:rsidRDefault="00075226" w:rsidP="00075226">
      <w:pPr>
        <w:pStyle w:val="Akapitzlist"/>
        <w:ind w:hanging="36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1.</w:t>
      </w:r>
      <w:r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>
        <w:rPr>
          <w:sz w:val="24"/>
          <w:szCs w:val="24"/>
        </w:rPr>
        <w:t xml:space="preserve">wdrożenie zapisów Traktatu z Marrakeszu </w:t>
      </w:r>
      <w:r>
        <w:rPr>
          <w:sz w:val="24"/>
          <w:szCs w:val="24"/>
          <w:lang w:eastAsia="pl-PL"/>
        </w:rPr>
        <w:t>o ułatwieniu dostępu do opublikowanych utworów osobom niewidomym, osobom niedowidzącym i osobom z innymi niepełnosprawnościami uniemożliwiającymi zapoznawanie się z drukiem</w:t>
      </w:r>
    </w:p>
    <w:p w:rsidR="00075226" w:rsidRDefault="00075226" w:rsidP="00075226">
      <w:pPr>
        <w:pStyle w:val="Akapitzlist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>korzystania dla celów naukowych z eksploracji tekstów i danych (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and data </w:t>
      </w:r>
      <w:proofErr w:type="spellStart"/>
      <w:r>
        <w:rPr>
          <w:sz w:val="24"/>
          <w:szCs w:val="24"/>
        </w:rPr>
        <w:t>mining</w:t>
      </w:r>
      <w:proofErr w:type="spellEnd"/>
      <w:r>
        <w:rPr>
          <w:sz w:val="24"/>
          <w:szCs w:val="24"/>
        </w:rPr>
        <w:t>) w odniesieniu do utworów chronionych prawem autorskim. Działanie to jest  jednym z podstawowych narzędzi badawczych humanistyki cyfrowej.</w:t>
      </w:r>
    </w:p>
    <w:p w:rsidR="00075226" w:rsidRDefault="00075226" w:rsidP="00075226">
      <w:pPr>
        <w:pStyle w:val="Akapitzlist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>archiwizacji dokumentów, utworów i dzieł mających postać wyłącznie elektroniczną (</w:t>
      </w:r>
      <w:proofErr w:type="spellStart"/>
      <w:r>
        <w:rPr>
          <w:sz w:val="24"/>
          <w:szCs w:val="24"/>
        </w:rPr>
        <w:t>born-digital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documents</w:t>
      </w:r>
      <w:proofErr w:type="spellEnd"/>
      <w:r>
        <w:rPr>
          <w:sz w:val="24"/>
          <w:szCs w:val="24"/>
        </w:rPr>
        <w:t>). Prawodawstwo dopuszcza archiwizację dokumentów elektronicznych przekazywanych bibliotekom jako egzemplarz obowiązkowy, nie umożliwia natomiast archiwizacji stron internetowych, co jest stratą dla dokumentacji kultury polskiej.</w:t>
      </w:r>
    </w:p>
    <w:p w:rsidR="00075226" w:rsidRDefault="00075226" w:rsidP="00075226">
      <w:pPr>
        <w:pStyle w:val="Akapitzlist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>możliwości zdalnego dostępu do utworów w postaci elektronicznej pozostających pod ochroną prawa autorskiego w zamkniętych sieciach elektronicznych, a nie jedynie na terminalach znajdujących się na terenie bibliotek. Istotną, a nie poruszoną w komunikacie kwestią jest rozstrzygnięcie kwestii dopuszczalności wydruku utworów chronionych prawem autorskim, podejmowane w celach badawczych.</w:t>
      </w:r>
    </w:p>
    <w:p w:rsidR="00075226" w:rsidRDefault="00075226" w:rsidP="00075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wyrazami poważania </w:t>
      </w:r>
    </w:p>
    <w:p w:rsidR="00075226" w:rsidRDefault="00075226" w:rsidP="00075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Ślaska</w:t>
      </w:r>
      <w:proofErr w:type="spellEnd"/>
    </w:p>
    <w:p w:rsidR="00075226" w:rsidRDefault="00075226" w:rsidP="00075226"/>
    <w:p w:rsidR="00075226" w:rsidRDefault="00075226" w:rsidP="00075226"/>
    <w:p w:rsidR="00075226" w:rsidRDefault="00075226" w:rsidP="00075226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422650" cy="609600"/>
            <wp:effectExtent l="0" t="0" r="6350" b="0"/>
            <wp:docPr id="1" name="Obraz 1" descr="cid:image001.gif@01D14F9B.4F211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gif@01D14F9B.4F211B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40" w:rsidRDefault="00075226">
      <w:bookmarkStart w:id="0" w:name="_GoBack"/>
      <w:bookmarkEnd w:id="0"/>
    </w:p>
    <w:sectPr w:rsidR="00A7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26"/>
    <w:rsid w:val="00075226"/>
    <w:rsid w:val="009D3E32"/>
    <w:rsid w:val="00C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22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226"/>
    <w:pPr>
      <w:spacing w:after="160" w:line="252" w:lineRule="auto"/>
      <w:ind w:left="720"/>
      <w:contextualSpacing/>
    </w:pPr>
  </w:style>
  <w:style w:type="paragraph" w:customStyle="1" w:styleId="Default">
    <w:name w:val="Default"/>
    <w:basedOn w:val="Normalny"/>
    <w:rsid w:val="00075226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2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22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226"/>
    <w:pPr>
      <w:spacing w:after="160" w:line="252" w:lineRule="auto"/>
      <w:ind w:left="720"/>
      <w:contextualSpacing/>
    </w:pPr>
  </w:style>
  <w:style w:type="paragraph" w:customStyle="1" w:styleId="Default">
    <w:name w:val="Default"/>
    <w:basedOn w:val="Normalny"/>
    <w:rsid w:val="00075226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2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14F9B.4F211B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Szelenbaum</dc:creator>
  <cp:lastModifiedBy>Kinga Szelenbaum</cp:lastModifiedBy>
  <cp:revision>1</cp:revision>
  <dcterms:created xsi:type="dcterms:W3CDTF">2016-02-08T08:50:00Z</dcterms:created>
  <dcterms:modified xsi:type="dcterms:W3CDTF">2016-02-08T08:51:00Z</dcterms:modified>
</cp:coreProperties>
</file>